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8D04CB">
      <w:pPr>
        <w:pStyle w:val="T3"/>
      </w:pPr>
    </w:p>
    <w:p w:rsidR="008D04CB" w:rsidRDefault="001A652E" w:rsidP="001A652E">
      <w:pPr>
        <w:pStyle w:val="Title"/>
        <w:jc w:val="center"/>
      </w:pPr>
      <w:r>
        <w:t>Beginning ESOP Valuation</w:t>
      </w:r>
    </w:p>
    <w:p w:rsidR="008D04CB" w:rsidRDefault="008D04CB">
      <w:pPr>
        <w:pStyle w:val="T3"/>
        <w:jc w:val="center"/>
        <w:rPr>
          <w:b/>
          <w:bCs/>
          <w:sz w:val="40"/>
        </w:rPr>
      </w:pPr>
    </w:p>
    <w:p w:rsidR="008D04CB" w:rsidRDefault="008D04CB">
      <w:pPr>
        <w:pStyle w:val="T3"/>
        <w:jc w:val="center"/>
        <w:rPr>
          <w:b/>
          <w:bCs/>
          <w:sz w:val="40"/>
        </w:rPr>
      </w:pPr>
    </w:p>
    <w:p w:rsidR="008D04CB" w:rsidRDefault="008D04CB">
      <w:pPr>
        <w:pStyle w:val="T3"/>
        <w:jc w:val="center"/>
        <w:rPr>
          <w:b/>
          <w:bCs/>
          <w:sz w:val="40"/>
        </w:rPr>
      </w:pPr>
    </w:p>
    <w:p w:rsidR="008D04CB" w:rsidRPr="000C2E78" w:rsidRDefault="000C2E78">
      <w:pPr>
        <w:pStyle w:val="T3"/>
        <w:jc w:val="center"/>
        <w:rPr>
          <w:bCs/>
          <w:sz w:val="40"/>
        </w:rPr>
      </w:pPr>
      <w:r w:rsidRPr="000C2E78">
        <w:rPr>
          <w:bCs/>
          <w:sz w:val="40"/>
        </w:rPr>
        <w:t>Barry Goodman</w:t>
      </w:r>
    </w:p>
    <w:p w:rsidR="008D04CB" w:rsidRPr="00985F45" w:rsidRDefault="008D04CB">
      <w:pPr>
        <w:pStyle w:val="T3"/>
        <w:jc w:val="center"/>
        <w:rPr>
          <w:bCs/>
          <w:sz w:val="36"/>
          <w:szCs w:val="36"/>
        </w:rPr>
      </w:pPr>
      <w:r w:rsidRPr="00985F45">
        <w:rPr>
          <w:bCs/>
          <w:sz w:val="36"/>
          <w:szCs w:val="36"/>
        </w:rPr>
        <w:t xml:space="preserve">CFA, </w:t>
      </w:r>
      <w:proofErr w:type="spellStart"/>
      <w:r w:rsidRPr="00985F45">
        <w:rPr>
          <w:bCs/>
          <w:sz w:val="36"/>
          <w:szCs w:val="36"/>
        </w:rPr>
        <w:t>ASA</w:t>
      </w:r>
      <w:proofErr w:type="spellEnd"/>
      <w:r w:rsidRPr="00985F45">
        <w:rPr>
          <w:bCs/>
          <w:sz w:val="36"/>
          <w:szCs w:val="36"/>
        </w:rPr>
        <w:t>, CPA/</w:t>
      </w:r>
      <w:proofErr w:type="spellStart"/>
      <w:r w:rsidRPr="00985F45">
        <w:rPr>
          <w:bCs/>
          <w:sz w:val="36"/>
          <w:szCs w:val="36"/>
        </w:rPr>
        <w:t>ABV</w:t>
      </w:r>
      <w:proofErr w:type="spellEnd"/>
      <w:r w:rsidRPr="00985F45">
        <w:rPr>
          <w:bCs/>
          <w:sz w:val="36"/>
          <w:szCs w:val="36"/>
        </w:rPr>
        <w:t xml:space="preserve">, </w:t>
      </w:r>
      <w:proofErr w:type="spellStart"/>
      <w:r w:rsidRPr="00985F45">
        <w:rPr>
          <w:bCs/>
          <w:sz w:val="36"/>
          <w:szCs w:val="36"/>
        </w:rPr>
        <w:t>CBA</w:t>
      </w:r>
      <w:proofErr w:type="spellEnd"/>
      <w:r w:rsidR="00985F45">
        <w:rPr>
          <w:bCs/>
          <w:sz w:val="36"/>
          <w:szCs w:val="36"/>
        </w:rPr>
        <w:t xml:space="preserve">, </w:t>
      </w:r>
      <w:proofErr w:type="spellStart"/>
      <w:r w:rsidR="00985F45">
        <w:rPr>
          <w:bCs/>
          <w:sz w:val="36"/>
          <w:szCs w:val="36"/>
        </w:rPr>
        <w:t>CFP</w:t>
      </w:r>
      <w:proofErr w:type="spellEnd"/>
      <w:r w:rsidR="00985F45">
        <w:rPr>
          <w:bCs/>
          <w:sz w:val="36"/>
          <w:szCs w:val="36"/>
        </w:rPr>
        <w:br/>
      </w:r>
    </w:p>
    <w:p w:rsidR="00985F45" w:rsidRDefault="003D42CA" w:rsidP="00985F45">
      <w:pPr>
        <w:pStyle w:val="T3"/>
        <w:jc w:val="center"/>
        <w:rPr>
          <w:bCs/>
          <w:sz w:val="40"/>
        </w:rPr>
      </w:pPr>
      <w:hyperlink r:id="rId9" w:history="1">
        <w:r w:rsidR="00985F45" w:rsidRPr="00FC60D5">
          <w:rPr>
            <w:rStyle w:val="Hyperlink"/>
            <w:bCs/>
            <w:sz w:val="40"/>
          </w:rPr>
          <w:t>bgoodman@advancedval.com</w:t>
        </w:r>
      </w:hyperlink>
    </w:p>
    <w:p w:rsidR="008D04CB" w:rsidRPr="000C2E78" w:rsidRDefault="000C2E78">
      <w:pPr>
        <w:pStyle w:val="T3"/>
        <w:jc w:val="center"/>
        <w:rPr>
          <w:bCs/>
          <w:sz w:val="40"/>
        </w:rPr>
      </w:pPr>
      <w:r w:rsidRPr="000C2E78">
        <w:rPr>
          <w:bCs/>
          <w:sz w:val="40"/>
        </w:rPr>
        <w:t>Advanced Valuation Analytics, Inc.</w:t>
      </w:r>
    </w:p>
    <w:p w:rsidR="008D04CB" w:rsidRPr="000C2E78" w:rsidRDefault="000C2E78">
      <w:pPr>
        <w:pStyle w:val="T3"/>
        <w:jc w:val="center"/>
        <w:rPr>
          <w:bCs/>
          <w:sz w:val="40"/>
        </w:rPr>
      </w:pPr>
      <w:r w:rsidRPr="000C2E78">
        <w:rPr>
          <w:bCs/>
          <w:sz w:val="40"/>
        </w:rPr>
        <w:t>1901 L Street., N.W., Suite 605</w:t>
      </w:r>
    </w:p>
    <w:p w:rsidR="008D04CB" w:rsidRPr="000C2E78" w:rsidRDefault="000C2E78">
      <w:pPr>
        <w:pStyle w:val="T3"/>
        <w:jc w:val="center"/>
        <w:rPr>
          <w:bCs/>
          <w:sz w:val="40"/>
        </w:rPr>
      </w:pPr>
      <w:r w:rsidRPr="000C2E78">
        <w:rPr>
          <w:bCs/>
          <w:sz w:val="40"/>
        </w:rPr>
        <w:t>Washington, D.C. 20036</w:t>
      </w:r>
    </w:p>
    <w:p w:rsidR="00985F45" w:rsidRDefault="000C2E78">
      <w:pPr>
        <w:pStyle w:val="T3"/>
        <w:jc w:val="center"/>
        <w:rPr>
          <w:bCs/>
          <w:sz w:val="40"/>
        </w:rPr>
      </w:pPr>
      <w:r w:rsidRPr="000C2E78">
        <w:rPr>
          <w:bCs/>
          <w:sz w:val="40"/>
        </w:rPr>
        <w:t>202-296-2777</w:t>
      </w:r>
    </w:p>
    <w:p w:rsidR="00985F45" w:rsidRDefault="00985F45">
      <w:pPr>
        <w:pStyle w:val="T3"/>
        <w:jc w:val="center"/>
        <w:rPr>
          <w:bCs/>
          <w:sz w:val="40"/>
        </w:rPr>
      </w:pPr>
    </w:p>
    <w:p w:rsidR="00985F45" w:rsidRDefault="003D42CA">
      <w:pPr>
        <w:pStyle w:val="T3"/>
        <w:jc w:val="center"/>
        <w:rPr>
          <w:bCs/>
          <w:sz w:val="40"/>
        </w:rPr>
      </w:pPr>
      <w:hyperlink r:id="rId10" w:history="1">
        <w:r w:rsidR="00985F45" w:rsidRPr="00FC60D5">
          <w:rPr>
            <w:rStyle w:val="Hyperlink"/>
            <w:bCs/>
            <w:sz w:val="40"/>
          </w:rPr>
          <w:t>www.advancedval.com</w:t>
        </w:r>
      </w:hyperlink>
    </w:p>
    <w:p w:rsidR="00985F45" w:rsidRDefault="00985F45">
      <w:pPr>
        <w:pStyle w:val="T3"/>
        <w:jc w:val="center"/>
        <w:rPr>
          <w:bCs/>
          <w:sz w:val="40"/>
        </w:rPr>
      </w:pPr>
    </w:p>
    <w:p w:rsidR="008D04CB" w:rsidRPr="00985F45" w:rsidRDefault="008D04CB" w:rsidP="00985F45">
      <w:pPr>
        <w:pStyle w:val="T3"/>
        <w:jc w:val="center"/>
        <w:rPr>
          <w:sz w:val="32"/>
        </w:rPr>
      </w:pPr>
      <w:r>
        <w:br w:type="page"/>
      </w:r>
    </w:p>
    <w:p w:rsidR="008D04CB" w:rsidRDefault="008D04CB">
      <w:pPr>
        <w:pStyle w:val="T3"/>
      </w:pPr>
    </w:p>
    <w:p w:rsidR="006B6E3B" w:rsidRDefault="008D04CB" w:rsidP="006B6E3B">
      <w:pPr>
        <w:pStyle w:val="OM"/>
        <w:ind w:left="0" w:firstLine="0"/>
      </w:pPr>
      <w:r>
        <w:t>There</w:t>
      </w:r>
      <w:r w:rsidR="006B6E3B">
        <w:t xml:space="preserve"> are three valuation approaches</w:t>
      </w:r>
      <w:r w:rsidR="00312E26">
        <w:t xml:space="preserve"> and certain adjustments to the value</w:t>
      </w:r>
      <w:r w:rsidR="006B6E3B">
        <w:t>.  We will di</w:t>
      </w:r>
      <w:r w:rsidR="006B6E3B">
        <w:t>s</w:t>
      </w:r>
      <w:r w:rsidR="006B6E3B">
        <w:t>cuss below how these methods work and when they might be appropriate.</w:t>
      </w:r>
    </w:p>
    <w:p w:rsidR="008D04CB" w:rsidRDefault="006B6E3B" w:rsidP="006B6E3B">
      <w:pPr>
        <w:pStyle w:val="OM"/>
        <w:ind w:left="0" w:firstLine="0"/>
        <w:rPr>
          <w:sz w:val="28"/>
          <w:szCs w:val="28"/>
        </w:rPr>
      </w:pPr>
      <w:r>
        <w:br/>
      </w:r>
      <w:r w:rsidRPr="006B6E3B">
        <w:rPr>
          <w:sz w:val="28"/>
          <w:szCs w:val="28"/>
        </w:rPr>
        <w:t>Asset Based Approach</w:t>
      </w:r>
    </w:p>
    <w:p w:rsidR="006B6E3B" w:rsidRPr="006B6E3B" w:rsidRDefault="006B6E3B" w:rsidP="006B6E3B">
      <w:pPr>
        <w:pStyle w:val="OM"/>
        <w:pBdr>
          <w:top w:val="single" w:sz="18" w:space="1" w:color="1F497D" w:themeColor="text2"/>
        </w:pBdr>
        <w:ind w:left="0" w:firstLine="0"/>
        <w:rPr>
          <w:sz w:val="28"/>
          <w:szCs w:val="28"/>
        </w:rPr>
      </w:pPr>
    </w:p>
    <w:p w:rsidR="008D04CB" w:rsidRDefault="006B6E3B" w:rsidP="006B6E3B">
      <w:pPr>
        <w:pStyle w:val="ON"/>
        <w:tabs>
          <w:tab w:val="clear" w:pos="1152"/>
          <w:tab w:val="left" w:pos="0"/>
        </w:tabs>
        <w:ind w:left="0" w:firstLine="0"/>
      </w:pPr>
      <w:r>
        <w:t xml:space="preserve">The </w:t>
      </w:r>
      <w:r w:rsidR="008D04CB" w:rsidRPr="006B6E3B">
        <w:rPr>
          <w:i/>
        </w:rPr>
        <w:t>Asset Based Approach</w:t>
      </w:r>
      <w:r>
        <w:t xml:space="preserve"> is</w:t>
      </w:r>
      <w:r w:rsidR="008D04CB">
        <w:t xml:space="preserve"> </w:t>
      </w:r>
      <w:r>
        <w:t>a</w:t>
      </w:r>
      <w:r w:rsidR="008D04CB">
        <w:t xml:space="preserve"> general way of determining a value indication of a bus</w:t>
      </w:r>
      <w:r w:rsidR="008D04CB">
        <w:t>i</w:t>
      </w:r>
      <w:r w:rsidR="008D04CB">
        <w:t>ness’s assets and/or equity interest using one or more methods based directly upon the value of the assets of the business less liabilities.</w:t>
      </w:r>
    </w:p>
    <w:p w:rsidR="008D04CB" w:rsidRDefault="008D04CB" w:rsidP="006B6E3B">
      <w:pPr>
        <w:pStyle w:val="ON"/>
        <w:tabs>
          <w:tab w:val="clear" w:pos="1152"/>
          <w:tab w:val="left" w:pos="0"/>
        </w:tabs>
        <w:ind w:left="0" w:firstLine="0"/>
      </w:pPr>
    </w:p>
    <w:p w:rsidR="008D04CB" w:rsidRDefault="00224E51" w:rsidP="006B6E3B">
      <w:pPr>
        <w:pStyle w:val="ON"/>
        <w:tabs>
          <w:tab w:val="clear" w:pos="576"/>
          <w:tab w:val="clear" w:pos="1152"/>
          <w:tab w:val="left" w:pos="0"/>
        </w:tabs>
        <w:ind w:left="0" w:firstLine="0"/>
      </w:pPr>
      <w:r>
        <w:t>Examples of situations requiring the asset approach:</w:t>
      </w:r>
    </w:p>
    <w:p w:rsidR="008D04CB" w:rsidRDefault="008D04CB" w:rsidP="006B6E3B">
      <w:pPr>
        <w:pStyle w:val="ON"/>
        <w:tabs>
          <w:tab w:val="clear" w:pos="1152"/>
          <w:tab w:val="left" w:pos="0"/>
        </w:tabs>
        <w:ind w:left="0" w:firstLine="0"/>
      </w:pPr>
    </w:p>
    <w:p w:rsidR="008D04CB" w:rsidRDefault="008D04CB" w:rsidP="009B4F05">
      <w:pPr>
        <w:pStyle w:val="OO"/>
        <w:numPr>
          <w:ilvl w:val="0"/>
          <w:numId w:val="23"/>
        </w:numPr>
      </w:pPr>
      <w:r>
        <w:t>The company being valued is an investment company of some type.  For example, it invests primarily in real estate and/or stocks and bonds.  A real estate inves</w:t>
      </w:r>
      <w:r>
        <w:t>t</w:t>
      </w:r>
      <w:r>
        <w:t>ment trust would be an example of a company where an asset approach might be appropriate.</w:t>
      </w:r>
    </w:p>
    <w:p w:rsidR="008D04CB" w:rsidRDefault="008D04CB" w:rsidP="009B4F05">
      <w:pPr>
        <w:pStyle w:val="OO"/>
        <w:ind w:left="360" w:firstLine="0"/>
      </w:pPr>
    </w:p>
    <w:p w:rsidR="008D04CB" w:rsidRDefault="008D04CB" w:rsidP="009B4F05">
      <w:pPr>
        <w:pStyle w:val="OO"/>
        <w:numPr>
          <w:ilvl w:val="0"/>
          <w:numId w:val="23"/>
        </w:numPr>
      </w:pPr>
      <w:r>
        <w:t>The block of shares being valued is large enough to force a liquidation of the company.</w:t>
      </w:r>
    </w:p>
    <w:p w:rsidR="008D04CB" w:rsidRDefault="008D04CB" w:rsidP="009B4F05">
      <w:pPr>
        <w:pStyle w:val="OO"/>
        <w:ind w:left="360" w:firstLine="0"/>
      </w:pPr>
    </w:p>
    <w:p w:rsidR="008D04CB" w:rsidRDefault="008D04CB" w:rsidP="009B4F05">
      <w:pPr>
        <w:pStyle w:val="OO"/>
        <w:numPr>
          <w:ilvl w:val="0"/>
          <w:numId w:val="23"/>
        </w:numPr>
      </w:pPr>
      <w:r>
        <w:t>The company whose stock is being valued may be liquidated in the near future.</w:t>
      </w:r>
    </w:p>
    <w:p w:rsidR="008D04CB" w:rsidRDefault="008D04CB" w:rsidP="009B4F05">
      <w:pPr>
        <w:pStyle w:val="OO"/>
        <w:ind w:left="360" w:firstLine="0"/>
      </w:pPr>
    </w:p>
    <w:p w:rsidR="008D04CB" w:rsidRDefault="008D04CB" w:rsidP="009B4F05">
      <w:pPr>
        <w:pStyle w:val="OO"/>
        <w:numPr>
          <w:ilvl w:val="0"/>
          <w:numId w:val="23"/>
        </w:numPr>
      </w:pPr>
      <w:r>
        <w:t>The block of shares being valued is a controlling block and the market and asset values are much smaller than the net asset value.</w:t>
      </w:r>
    </w:p>
    <w:p w:rsidR="008D04CB" w:rsidRDefault="008D04CB" w:rsidP="009B4F05">
      <w:pPr>
        <w:pStyle w:val="OO"/>
        <w:ind w:left="360" w:firstLine="0"/>
      </w:pPr>
    </w:p>
    <w:p w:rsidR="008D04CB" w:rsidRDefault="008D04CB" w:rsidP="009B4F05">
      <w:pPr>
        <w:pStyle w:val="OO"/>
        <w:numPr>
          <w:ilvl w:val="0"/>
          <w:numId w:val="23"/>
        </w:numPr>
      </w:pPr>
      <w:r>
        <w:t>We may, in part, use an asset approach if the company whose stock is being va</w:t>
      </w:r>
      <w:r>
        <w:t>l</w:t>
      </w:r>
      <w:r>
        <w:t>ued has non-operating assets.  For example, if the company owns real estate that is not being used in the operations of the business, such an asset would be a non-operating asset.  The book value of this asset would be subtracted from the total value of the assets of the balance sheet, and the fair market value of this real e</w:t>
      </w:r>
      <w:r>
        <w:t>s</w:t>
      </w:r>
      <w:r>
        <w:t>tate would be added to the operati</w:t>
      </w:r>
      <w:bookmarkStart w:id="0" w:name="lastx"/>
      <w:bookmarkStart w:id="1" w:name="_GoBack"/>
      <w:bookmarkEnd w:id="0"/>
      <w:bookmarkEnd w:id="1"/>
      <w:r>
        <w:t>ng value of the company.  All income generated by this real estate would be eliminated from the income statement.</w:t>
      </w:r>
    </w:p>
    <w:p w:rsidR="008D04CB" w:rsidRDefault="008D04CB" w:rsidP="006B6E3B">
      <w:pPr>
        <w:pStyle w:val="ON"/>
      </w:pPr>
    </w:p>
    <w:p w:rsidR="006B6E3B" w:rsidRDefault="006B6E3B" w:rsidP="006B6E3B">
      <w:pPr>
        <w:pStyle w:val="OM"/>
        <w:ind w:left="0" w:firstLine="0"/>
        <w:rPr>
          <w:sz w:val="28"/>
          <w:szCs w:val="28"/>
        </w:rPr>
      </w:pPr>
      <w:r>
        <w:rPr>
          <w:sz w:val="28"/>
          <w:szCs w:val="28"/>
        </w:rPr>
        <w:t>Income</w:t>
      </w:r>
      <w:r w:rsidRPr="006B6E3B">
        <w:rPr>
          <w:sz w:val="28"/>
          <w:szCs w:val="28"/>
        </w:rPr>
        <w:t xml:space="preserve"> Based Approach</w:t>
      </w:r>
    </w:p>
    <w:p w:rsidR="006B6E3B" w:rsidRPr="006B6E3B" w:rsidRDefault="006B6E3B" w:rsidP="006B6E3B">
      <w:pPr>
        <w:pStyle w:val="OM"/>
        <w:pBdr>
          <w:top w:val="single" w:sz="18" w:space="1" w:color="1F497D" w:themeColor="text2"/>
        </w:pBdr>
        <w:ind w:left="0" w:firstLine="0"/>
        <w:rPr>
          <w:sz w:val="28"/>
          <w:szCs w:val="28"/>
        </w:rPr>
      </w:pPr>
    </w:p>
    <w:p w:rsidR="006B6E3B" w:rsidRDefault="006B6E3B" w:rsidP="006B6E3B">
      <w:pPr>
        <w:pStyle w:val="ON"/>
      </w:pPr>
    </w:p>
    <w:p w:rsidR="008D04CB" w:rsidRDefault="006B6E3B" w:rsidP="00851454">
      <w:pPr>
        <w:pStyle w:val="ON"/>
        <w:tabs>
          <w:tab w:val="clear" w:pos="576"/>
          <w:tab w:val="clear" w:pos="1152"/>
          <w:tab w:val="left" w:pos="0"/>
        </w:tabs>
        <w:ind w:left="0" w:firstLine="0"/>
      </w:pPr>
      <w:r w:rsidRPr="006B6E3B">
        <w:t xml:space="preserve">The </w:t>
      </w:r>
      <w:r w:rsidR="00700568" w:rsidRPr="00700568">
        <w:rPr>
          <w:i/>
        </w:rPr>
        <w:t>i</w:t>
      </w:r>
      <w:r w:rsidR="008D04CB" w:rsidRPr="00700568">
        <w:rPr>
          <w:i/>
        </w:rPr>
        <w:t xml:space="preserve">ncome </w:t>
      </w:r>
      <w:r w:rsidR="00700568" w:rsidRPr="00700568">
        <w:rPr>
          <w:i/>
        </w:rPr>
        <w:t>based a</w:t>
      </w:r>
      <w:r w:rsidR="008D04CB" w:rsidRPr="00700568">
        <w:rPr>
          <w:i/>
        </w:rPr>
        <w:t>pproach</w:t>
      </w:r>
      <w:r w:rsidRPr="006B6E3B">
        <w:t xml:space="preserve"> is</w:t>
      </w:r>
      <w:r w:rsidR="008D04CB">
        <w:t xml:space="preserve"> </w:t>
      </w:r>
      <w:r>
        <w:t>a</w:t>
      </w:r>
      <w:r w:rsidR="008D04CB">
        <w:t xml:space="preserve"> general way of determining a value indication of a bus</w:t>
      </w:r>
      <w:r w:rsidR="008D04CB">
        <w:t>i</w:t>
      </w:r>
      <w:r w:rsidR="008D04CB">
        <w:t>ness, business ownership interest or security using one or more methods wherein a value is determined by converting anticipated benefits.</w:t>
      </w:r>
    </w:p>
    <w:p w:rsidR="008D04CB" w:rsidRDefault="008D04CB" w:rsidP="00851454">
      <w:pPr>
        <w:pStyle w:val="ON"/>
        <w:tabs>
          <w:tab w:val="clear" w:pos="576"/>
          <w:tab w:val="clear" w:pos="1152"/>
          <w:tab w:val="left" w:pos="0"/>
        </w:tabs>
        <w:ind w:left="0" w:firstLine="0"/>
      </w:pPr>
    </w:p>
    <w:p w:rsidR="008D04CB" w:rsidRDefault="008D04CB" w:rsidP="00851454">
      <w:pPr>
        <w:pStyle w:val="ON"/>
        <w:tabs>
          <w:tab w:val="clear" w:pos="576"/>
          <w:tab w:val="clear" w:pos="1152"/>
          <w:tab w:val="left" w:pos="0"/>
        </w:tabs>
        <w:ind w:left="0" w:firstLine="0"/>
      </w:pPr>
      <w:r>
        <w:t>The income approach and the market approach are not as distinct from each other as one might suppose.</w:t>
      </w:r>
    </w:p>
    <w:p w:rsidR="008D04CB" w:rsidRDefault="008D04CB" w:rsidP="00851454">
      <w:pPr>
        <w:pStyle w:val="ON"/>
        <w:tabs>
          <w:tab w:val="clear" w:pos="576"/>
          <w:tab w:val="clear" w:pos="1152"/>
          <w:tab w:val="left" w:pos="0"/>
        </w:tabs>
        <w:ind w:left="0" w:firstLine="0"/>
      </w:pPr>
    </w:p>
    <w:p w:rsidR="008D04CB" w:rsidRDefault="008D04CB" w:rsidP="00851454">
      <w:pPr>
        <w:pStyle w:val="ON"/>
        <w:tabs>
          <w:tab w:val="clear" w:pos="576"/>
          <w:tab w:val="clear" w:pos="1152"/>
          <w:tab w:val="left" w:pos="0"/>
        </w:tabs>
        <w:ind w:left="0" w:firstLine="0"/>
      </w:pPr>
      <w:r>
        <w:t>For example, in the application of the income approach, if we are applying the capitaliz</w:t>
      </w:r>
      <w:r>
        <w:t>a</w:t>
      </w:r>
      <w:r>
        <w:lastRenderedPageBreak/>
        <w:t>tion of cash flow valuation method, we might use some type of market data upon which to base a capitalization rate or a discount rate.  Are we using the income approach or the market approach?</w:t>
      </w:r>
    </w:p>
    <w:p w:rsidR="008D04CB" w:rsidRDefault="008D04CB" w:rsidP="00851454">
      <w:pPr>
        <w:pStyle w:val="ON"/>
        <w:tabs>
          <w:tab w:val="clear" w:pos="576"/>
          <w:tab w:val="clear" w:pos="1152"/>
          <w:tab w:val="left" w:pos="0"/>
        </w:tabs>
        <w:ind w:left="0" w:firstLine="0"/>
      </w:pPr>
    </w:p>
    <w:p w:rsidR="008D04CB" w:rsidRDefault="008D04CB" w:rsidP="00851454">
      <w:pPr>
        <w:pStyle w:val="ON"/>
        <w:tabs>
          <w:tab w:val="clear" w:pos="576"/>
          <w:tab w:val="clear" w:pos="1152"/>
          <w:tab w:val="left" w:pos="0"/>
        </w:tabs>
        <w:ind w:left="0" w:firstLine="0"/>
      </w:pPr>
      <w:r>
        <w:tab/>
      </w:r>
      <w:r>
        <w:tab/>
        <w:t>For our purposes in this discussion, we will assume that the capitalization of cash flow method and the discounted future cash flow method are both income a</w:t>
      </w:r>
      <w:r>
        <w:t>p</w:t>
      </w:r>
      <w:r>
        <w:t>proaches.</w:t>
      </w:r>
    </w:p>
    <w:p w:rsidR="008D04CB" w:rsidRDefault="008D04CB">
      <w:pPr>
        <w:pStyle w:val="ON"/>
      </w:pPr>
    </w:p>
    <w:p w:rsidR="00700568" w:rsidRPr="00700568" w:rsidRDefault="00700568" w:rsidP="00700568">
      <w:pPr>
        <w:pStyle w:val="Subtitle"/>
        <w:jc w:val="left"/>
        <w:rPr>
          <w:rFonts w:ascii="Times New Roman" w:hAnsi="Times New Roman" w:cs="Times New Roman"/>
          <w:i w:val="0"/>
          <w:color w:val="auto"/>
          <w:u w:val="single"/>
        </w:rPr>
      </w:pPr>
      <w:r w:rsidRPr="00700568">
        <w:rPr>
          <w:rFonts w:ascii="Times New Roman" w:hAnsi="Times New Roman" w:cs="Times New Roman"/>
          <w:i w:val="0"/>
          <w:color w:val="auto"/>
          <w:u w:val="single"/>
        </w:rPr>
        <w:t>Capitalization of Cash Flow</w:t>
      </w:r>
    </w:p>
    <w:p w:rsidR="008D04CB" w:rsidRDefault="008D04CB">
      <w:pPr>
        <w:pStyle w:val="OO"/>
      </w:pPr>
    </w:p>
    <w:p w:rsidR="008D04CB" w:rsidRPr="00DE5483" w:rsidRDefault="00700568" w:rsidP="00DE5483">
      <w:pPr>
        <w:pStyle w:val="OP"/>
        <w:tabs>
          <w:tab w:val="clear" w:pos="1728"/>
          <w:tab w:val="clear" w:pos="2304"/>
          <w:tab w:val="left" w:pos="0"/>
        </w:tabs>
        <w:ind w:left="0" w:firstLine="0"/>
      </w:pPr>
      <w:r w:rsidRPr="00DE5483">
        <w:t>1</w:t>
      </w:r>
      <w:r w:rsidR="008D04CB" w:rsidRPr="00DE5483">
        <w:t>.</w:t>
      </w:r>
      <w:r w:rsidRPr="00DE5483">
        <w:t xml:space="preserve"> </w:t>
      </w:r>
      <w:r w:rsidR="008D04CB" w:rsidRPr="00DE5483">
        <w:t>E</w:t>
      </w:r>
      <w:r w:rsidR="00DE5483" w:rsidRPr="00DE5483">
        <w:t>stimate the capitalization rate</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s>
        <w:ind w:left="0" w:firstLine="0"/>
      </w:pPr>
      <w:r>
        <w:t>There are many ways to do this, but generally the formula is as follows:</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 w:val="left" w:pos="1440"/>
          <w:tab w:val="left" w:pos="1710"/>
          <w:tab w:val="left" w:pos="2160"/>
          <w:tab w:val="left" w:pos="2520"/>
        </w:tabs>
        <w:ind w:left="0" w:firstLine="0"/>
      </w:pPr>
      <w:r>
        <w:tab/>
      </w:r>
      <w:r>
        <w:tab/>
        <w:t>Risk-free rate of return (usually 20-year treasury bonds)</w:t>
      </w:r>
    </w:p>
    <w:p w:rsidR="008D04CB" w:rsidRDefault="008D04CB" w:rsidP="00DE5483">
      <w:pPr>
        <w:pStyle w:val="OP"/>
        <w:tabs>
          <w:tab w:val="clear" w:pos="1728"/>
          <w:tab w:val="clear" w:pos="2304"/>
          <w:tab w:val="left" w:pos="0"/>
          <w:tab w:val="left" w:pos="1440"/>
          <w:tab w:val="left" w:pos="1710"/>
          <w:tab w:val="left" w:pos="2160"/>
          <w:tab w:val="left" w:pos="2520"/>
        </w:tabs>
        <w:ind w:left="0" w:firstLine="0"/>
      </w:pPr>
      <w:r>
        <w:tab/>
      </w:r>
      <w:r w:rsidR="00224E51">
        <w:t>+</w:t>
      </w:r>
      <w:r>
        <w:tab/>
        <w:t>Equity risk premium</w:t>
      </w:r>
    </w:p>
    <w:p w:rsidR="008D04CB" w:rsidRDefault="008D04CB" w:rsidP="00DE5483">
      <w:pPr>
        <w:pStyle w:val="OP"/>
        <w:tabs>
          <w:tab w:val="clear" w:pos="1728"/>
          <w:tab w:val="clear" w:pos="2304"/>
          <w:tab w:val="left" w:pos="0"/>
          <w:tab w:val="left" w:pos="1440"/>
          <w:tab w:val="left" w:pos="1710"/>
          <w:tab w:val="left" w:pos="2160"/>
          <w:tab w:val="left" w:pos="2520"/>
        </w:tabs>
        <w:ind w:left="0" w:firstLine="0"/>
      </w:pPr>
      <w:r>
        <w:tab/>
      </w:r>
      <w:r w:rsidR="00224E51">
        <w:t>+</w:t>
      </w:r>
      <w:r>
        <w:tab/>
        <w:t>Small stock premium</w:t>
      </w:r>
    </w:p>
    <w:p w:rsidR="008D04CB" w:rsidRDefault="008D04CB" w:rsidP="00DE5483">
      <w:pPr>
        <w:pStyle w:val="OP"/>
        <w:tabs>
          <w:tab w:val="clear" w:pos="1728"/>
          <w:tab w:val="clear" w:pos="2304"/>
          <w:tab w:val="left" w:pos="0"/>
          <w:tab w:val="left" w:pos="1440"/>
          <w:tab w:val="left" w:pos="1710"/>
          <w:tab w:val="left" w:pos="2160"/>
          <w:tab w:val="left" w:pos="2520"/>
        </w:tabs>
        <w:ind w:left="0" w:firstLine="0"/>
      </w:pPr>
      <w:r>
        <w:tab/>
      </w:r>
      <w:r w:rsidR="00224E51">
        <w:t>+</w:t>
      </w:r>
      <w:r>
        <w:tab/>
        <w:t>Company-specific risk premium</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s>
        <w:ind w:left="0" w:firstLine="0"/>
      </w:pPr>
      <w:r>
        <w:t xml:space="preserve">This yields the </w:t>
      </w:r>
      <w:r>
        <w:rPr>
          <w:i/>
          <w:iCs/>
        </w:rPr>
        <w:t>discount rate</w:t>
      </w:r>
      <w:r>
        <w:t xml:space="preserve"> or </w:t>
      </w:r>
      <w:r>
        <w:rPr>
          <w:i/>
          <w:iCs/>
        </w:rPr>
        <w:t>expected rate of return</w:t>
      </w:r>
      <w:r>
        <w:t xml:space="preserve"> as it is sometimes referred to.</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s>
        <w:ind w:left="0" w:firstLine="0"/>
      </w:pPr>
      <w:r>
        <w:t xml:space="preserve">We then subtract the long-term growth rate to yield the </w:t>
      </w:r>
      <w:r>
        <w:rPr>
          <w:i/>
          <w:iCs/>
        </w:rPr>
        <w:t>capitalization rate</w:t>
      </w:r>
      <w:r>
        <w:t>.</w:t>
      </w:r>
    </w:p>
    <w:p w:rsidR="008D04CB" w:rsidRDefault="008D04CB" w:rsidP="00DE5483">
      <w:pPr>
        <w:pStyle w:val="OO"/>
        <w:tabs>
          <w:tab w:val="clear" w:pos="1728"/>
          <w:tab w:val="left" w:pos="0"/>
        </w:tabs>
        <w:ind w:left="0" w:firstLine="0"/>
      </w:pPr>
    </w:p>
    <w:p w:rsidR="008D04CB" w:rsidRDefault="008D04CB" w:rsidP="00DE5483">
      <w:pPr>
        <w:pStyle w:val="OP"/>
        <w:tabs>
          <w:tab w:val="clear" w:pos="1728"/>
          <w:tab w:val="clear" w:pos="2304"/>
          <w:tab w:val="left" w:pos="0"/>
        </w:tabs>
        <w:ind w:left="0" w:firstLine="0"/>
      </w:pPr>
      <w:r>
        <w:t>As complicated and controversial as the estimation of a capitalization rate can be, the e</w:t>
      </w:r>
      <w:r>
        <w:t>s</w:t>
      </w:r>
      <w:r>
        <w:t xml:space="preserve">timation of the </w:t>
      </w:r>
      <w:r>
        <w:rPr>
          <w:i/>
          <w:iCs/>
        </w:rPr>
        <w:t>cash flow capacity</w:t>
      </w:r>
      <w:r>
        <w:t xml:space="preserve"> figure is typically even more difficult.</w:t>
      </w:r>
    </w:p>
    <w:p w:rsidR="008D04CB" w:rsidRDefault="008D04CB" w:rsidP="00DE5483">
      <w:pPr>
        <w:pStyle w:val="OP"/>
        <w:tabs>
          <w:tab w:val="clear" w:pos="1728"/>
          <w:tab w:val="clear" w:pos="2304"/>
          <w:tab w:val="left" w:pos="0"/>
        </w:tabs>
        <w:ind w:left="0" w:firstLine="0"/>
      </w:pPr>
    </w:p>
    <w:p w:rsidR="00DE5483" w:rsidRDefault="00700568" w:rsidP="00DE5483">
      <w:pPr>
        <w:pStyle w:val="OP"/>
        <w:tabs>
          <w:tab w:val="clear" w:pos="1728"/>
          <w:tab w:val="clear" w:pos="2304"/>
          <w:tab w:val="left" w:pos="0"/>
        </w:tabs>
        <w:ind w:left="0" w:firstLine="0"/>
        <w:rPr>
          <w:i/>
          <w:iCs/>
        </w:rPr>
      </w:pPr>
      <w:r>
        <w:t xml:space="preserve">2. </w:t>
      </w:r>
      <w:r w:rsidR="008D04CB">
        <w:t xml:space="preserve">Estimate the </w:t>
      </w:r>
      <w:r w:rsidR="008D04CB">
        <w:rPr>
          <w:i/>
          <w:iCs/>
        </w:rPr>
        <w:t>cash flow capacity</w:t>
      </w:r>
    </w:p>
    <w:p w:rsidR="00DE5483" w:rsidRDefault="00DE5483" w:rsidP="00DE5483">
      <w:pPr>
        <w:pStyle w:val="OP"/>
        <w:tabs>
          <w:tab w:val="clear" w:pos="1728"/>
          <w:tab w:val="clear" w:pos="2304"/>
          <w:tab w:val="left" w:pos="0"/>
        </w:tabs>
        <w:ind w:left="0" w:firstLine="0"/>
        <w:rPr>
          <w:i/>
          <w:iCs/>
        </w:rPr>
      </w:pPr>
    </w:p>
    <w:p w:rsidR="008D04CB" w:rsidRDefault="008D04CB" w:rsidP="00DE5483">
      <w:pPr>
        <w:pStyle w:val="OP"/>
        <w:tabs>
          <w:tab w:val="clear" w:pos="1728"/>
          <w:tab w:val="clear" w:pos="2304"/>
          <w:tab w:val="left" w:pos="0"/>
        </w:tabs>
        <w:ind w:left="0" w:firstLine="0"/>
      </w:pPr>
      <w:r>
        <w:t>The cash flow capacity (or earning capacity) is the level of sustainable cash flow that a company can maintain excluding extraordinary and non-recurring items.</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s>
        <w:ind w:left="0" w:firstLine="0"/>
      </w:pPr>
      <w:r>
        <w:t>It can involve using the most recent cash flow figure, some type of averaging or some other estimate.</w:t>
      </w:r>
    </w:p>
    <w:p w:rsidR="008D04CB" w:rsidRDefault="008D04CB" w:rsidP="00DE5483">
      <w:pPr>
        <w:pStyle w:val="OP"/>
        <w:tabs>
          <w:tab w:val="clear" w:pos="1728"/>
          <w:tab w:val="clear" w:pos="2304"/>
          <w:tab w:val="left" w:pos="0"/>
        </w:tabs>
        <w:ind w:left="0" w:firstLine="0"/>
      </w:pPr>
    </w:p>
    <w:p w:rsidR="008D04CB" w:rsidRDefault="008D04CB" w:rsidP="00DE5483">
      <w:pPr>
        <w:pStyle w:val="OP"/>
        <w:tabs>
          <w:tab w:val="clear" w:pos="1728"/>
          <w:tab w:val="clear" w:pos="2304"/>
          <w:tab w:val="left" w:pos="0"/>
        </w:tabs>
        <w:ind w:left="0" w:firstLine="0"/>
      </w:pPr>
      <w:r>
        <w:t>When the cash flow has a very steady increase, both historically and prospectively, as shown below, estimating the cash flow capacity is relatively simple.</w:t>
      </w:r>
    </w:p>
    <w:p w:rsidR="008D04CB" w:rsidRDefault="008D04CB" w:rsidP="00DE5483">
      <w:pPr>
        <w:pStyle w:val="OP"/>
        <w:tabs>
          <w:tab w:val="left" w:pos="0"/>
        </w:tabs>
        <w:ind w:left="0" w:firstLine="0"/>
      </w:pPr>
      <w:r>
        <w:br w:type="page"/>
      </w:r>
    </w:p>
    <w:p w:rsidR="008D04CB" w:rsidRDefault="008D04CB" w:rsidP="00DE5483">
      <w:pPr>
        <w:pStyle w:val="ON"/>
        <w:tabs>
          <w:tab w:val="left" w:pos="0"/>
        </w:tabs>
        <w:ind w:left="0" w:firstLine="0"/>
      </w:pPr>
    </w:p>
    <w:p w:rsidR="0078040D" w:rsidRDefault="00A61DFB" w:rsidP="00DE5483">
      <w:pPr>
        <w:pStyle w:val="OP"/>
        <w:tabs>
          <w:tab w:val="clear" w:pos="2304"/>
          <w:tab w:val="left" w:pos="0"/>
          <w:tab w:val="left" w:pos="1440"/>
        </w:tabs>
        <w:ind w:left="0" w:firstLine="0"/>
      </w:pPr>
      <w:r>
        <w:rPr>
          <w:noProof/>
        </w:rPr>
        <w:drawing>
          <wp:inline distT="0" distB="0" distL="0" distR="0" wp14:anchorId="656668F5" wp14:editId="24D56163">
            <wp:extent cx="5943600" cy="40449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4CB" w:rsidRDefault="008D04CB" w:rsidP="00DE5483">
      <w:pPr>
        <w:pStyle w:val="OP"/>
        <w:tabs>
          <w:tab w:val="clear" w:pos="2304"/>
          <w:tab w:val="left" w:pos="0"/>
          <w:tab w:val="left" w:pos="1440"/>
        </w:tabs>
        <w:ind w:left="0" w:firstLine="0"/>
      </w:pPr>
      <w:r>
        <w:t>The historic cash flows are shown in blue and the prospective cash flows are shown in red.  If the projections provided by management are realistic, we would probably lean toward the 20</w:t>
      </w:r>
      <w:r w:rsidR="00600942">
        <w:t>11</w:t>
      </w:r>
      <w:r>
        <w:t xml:space="preserve"> cash flow figure as being the cash flow capacity of this company.</w:t>
      </w:r>
    </w:p>
    <w:p w:rsidR="008D04CB" w:rsidRDefault="008D04CB" w:rsidP="00DE5483">
      <w:pPr>
        <w:pStyle w:val="OP"/>
        <w:tabs>
          <w:tab w:val="clear" w:pos="2304"/>
          <w:tab w:val="left" w:pos="0"/>
          <w:tab w:val="left" w:pos="1440"/>
        </w:tabs>
        <w:ind w:left="0" w:firstLine="0"/>
      </w:pPr>
    </w:p>
    <w:p w:rsidR="008D04CB" w:rsidRDefault="008D04CB" w:rsidP="00DE5483">
      <w:pPr>
        <w:pStyle w:val="OP"/>
        <w:tabs>
          <w:tab w:val="clear" w:pos="2304"/>
          <w:tab w:val="left" w:pos="0"/>
          <w:tab w:val="left" w:pos="1440"/>
        </w:tabs>
        <w:ind w:left="0" w:firstLine="0"/>
      </w:pPr>
      <w:r>
        <w:t>When the cash flow is erratic, as shown below, deciding on a cash flow capacity is made much more difficult for the appraiser.</w:t>
      </w:r>
    </w:p>
    <w:p w:rsidR="0078040D" w:rsidRDefault="00985F45" w:rsidP="00DE5483">
      <w:pPr>
        <w:pStyle w:val="OP"/>
        <w:tabs>
          <w:tab w:val="left" w:pos="0"/>
        </w:tabs>
        <w:ind w:left="0" w:firstLine="0"/>
      </w:pPr>
      <w:r w:rsidRPr="00985F45">
        <w:rPr>
          <w:noProof/>
        </w:rPr>
        <w:lastRenderedPageBreak/>
        <w:drawing>
          <wp:inline distT="0" distB="0" distL="0" distR="0" wp14:anchorId="2905D966" wp14:editId="6071EE00">
            <wp:extent cx="5486400" cy="3192194"/>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04CB" w:rsidRDefault="008D04CB" w:rsidP="00DE5483">
      <w:pPr>
        <w:pStyle w:val="OP"/>
        <w:tabs>
          <w:tab w:val="clear" w:pos="2304"/>
          <w:tab w:val="left" w:pos="0"/>
        </w:tabs>
        <w:ind w:left="0" w:firstLine="0"/>
      </w:pPr>
      <w:r>
        <w:t xml:space="preserve">Here the company has no </w:t>
      </w:r>
      <w:r w:rsidR="00672FEA">
        <w:t>discernible</w:t>
      </w:r>
      <w:r>
        <w:t xml:space="preserve"> pattern of generating cash flow.  Also, </w:t>
      </w:r>
      <w:r w:rsidR="00000935">
        <w:t xml:space="preserve">note that </w:t>
      </w:r>
      <w:r>
        <w:t>management’s forecasts appear to bear little resemblance to the company’s historic pe</w:t>
      </w:r>
      <w:r>
        <w:t>r</w:t>
      </w:r>
      <w:r>
        <w:t xml:space="preserve">formance.  This </w:t>
      </w:r>
      <w:r w:rsidR="00000935">
        <w:t xml:space="preserve">can </w:t>
      </w:r>
      <w:r>
        <w:t>make it difficult for the appraiser.</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A simple average or a weighted average may have no relevance depending upon the facts and circumstances.</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The mean average of the last four year’s cash flows is $1,131,250.  The weighted average for the last four years with increasing weights from one to four is $1,302,500.  Yet ma</w:t>
      </w:r>
      <w:r>
        <w:t>n</w:t>
      </w:r>
      <w:r>
        <w:t>agement predicts that the cash flow for 20</w:t>
      </w:r>
      <w:r w:rsidR="00C8499B">
        <w:t>12</w:t>
      </w:r>
      <w:r>
        <w:t xml:space="preserve"> will be $2,400,000.</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What is the cash flow capacity that we divide the capitalization rate into?</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Let us assume a capitalization rate of 14%.</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 xml:space="preserve">If we use the mean average of the historic cash flows to estimate the cash flow capacity, the value would be </w:t>
      </w:r>
      <w:r>
        <w:fldChar w:fldCharType="begin"/>
      </w:r>
      <w:r>
        <w:instrText xml:space="preserve"> LINK Excel.Sheet.8 "C:\\LOTUS\\ESOPWASHINGTON2003.XLS" "Data!R8C8" \t </w:instrText>
      </w:r>
      <w:r>
        <w:rPr>
          <w:sz w:val="20"/>
        </w:rPr>
        <w:fldChar w:fldCharType="separate"/>
      </w:r>
      <w:r>
        <w:t>$8,080,357</w:t>
      </w:r>
      <w:r>
        <w:fldChar w:fldCharType="end"/>
      </w:r>
      <w:r>
        <w:t>.</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 xml:space="preserve">If we use the weighted average, the value would be </w:t>
      </w:r>
      <w:r>
        <w:fldChar w:fldCharType="begin"/>
      </w:r>
      <w:r>
        <w:instrText xml:space="preserve"> LINK Excel.Sheet.8 "C:\\LOTUS\\ESOPWASHINGTON2003.XLS" "Data!R11C8" \t </w:instrText>
      </w:r>
      <w:r>
        <w:rPr>
          <w:sz w:val="20"/>
        </w:rPr>
        <w:fldChar w:fldCharType="separate"/>
      </w:r>
      <w:r>
        <w:t>$9,303,571</w:t>
      </w:r>
      <w:r>
        <w:fldChar w:fldCharType="end"/>
      </w:r>
      <w:r>
        <w:t>.</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If we use the cash flow projected for 20</w:t>
      </w:r>
      <w:r w:rsidR="008B5864">
        <w:t>12</w:t>
      </w:r>
      <w:r>
        <w:t xml:space="preserve">, the value would be </w:t>
      </w:r>
      <w:r>
        <w:fldChar w:fldCharType="begin"/>
      </w:r>
      <w:r>
        <w:instrText xml:space="preserve"> LINK Excel.Sheet.8 "C:\\LOTUS\\ESOPWASHINGTON2003.XLS" "Data!R13C8" \t </w:instrText>
      </w:r>
      <w:r>
        <w:rPr>
          <w:sz w:val="20"/>
        </w:rPr>
        <w:fldChar w:fldCharType="separate"/>
      </w:r>
      <w:r>
        <w:t>$17,142,857</w:t>
      </w:r>
      <w:r>
        <w:fldChar w:fldCharType="end"/>
      </w:r>
      <w:r>
        <w:t>.</w:t>
      </w:r>
    </w:p>
    <w:p w:rsidR="008D04CB" w:rsidRDefault="008D04CB" w:rsidP="00DE5483">
      <w:pPr>
        <w:pStyle w:val="OP"/>
        <w:tabs>
          <w:tab w:val="clear" w:pos="2304"/>
          <w:tab w:val="left" w:pos="0"/>
        </w:tabs>
        <w:ind w:left="0" w:firstLine="0"/>
      </w:pPr>
    </w:p>
    <w:p w:rsidR="008D04CB" w:rsidRDefault="008D04CB" w:rsidP="00DE5483">
      <w:pPr>
        <w:pStyle w:val="OP"/>
        <w:tabs>
          <w:tab w:val="clear" w:pos="2304"/>
          <w:tab w:val="left" w:pos="0"/>
        </w:tabs>
        <w:ind w:left="0" w:firstLine="0"/>
      </w:pPr>
      <w:r>
        <w:t>You can see the difficult task t</w:t>
      </w:r>
      <w:r w:rsidR="00000935">
        <w:t>hat is set before the appraiser!</w:t>
      </w:r>
    </w:p>
    <w:p w:rsidR="008D04CB" w:rsidRDefault="008D04CB">
      <w:pPr>
        <w:pStyle w:val="OP"/>
      </w:pPr>
    </w:p>
    <w:p w:rsidR="000D140C" w:rsidRDefault="000D140C">
      <w:pPr>
        <w:spacing w:line="240" w:lineRule="auto"/>
        <w:jc w:val="left"/>
        <w:rPr>
          <w:rFonts w:eastAsiaTheme="majorEastAsia"/>
          <w:iCs/>
          <w:spacing w:val="15"/>
          <w:szCs w:val="24"/>
          <w:u w:val="single"/>
        </w:rPr>
      </w:pPr>
      <w:r>
        <w:rPr>
          <w:i/>
          <w:u w:val="single"/>
        </w:rPr>
        <w:br w:type="page"/>
      </w:r>
    </w:p>
    <w:p w:rsidR="0072526B" w:rsidRPr="00700568" w:rsidRDefault="003E456A" w:rsidP="0072526B">
      <w:pPr>
        <w:pStyle w:val="Subtitle"/>
        <w:jc w:val="left"/>
        <w:rPr>
          <w:rFonts w:ascii="Times New Roman" w:hAnsi="Times New Roman" w:cs="Times New Roman"/>
          <w:i w:val="0"/>
          <w:color w:val="auto"/>
          <w:u w:val="single"/>
        </w:rPr>
      </w:pPr>
      <w:r w:rsidRPr="003E456A">
        <w:rPr>
          <w:rFonts w:ascii="Times New Roman" w:hAnsi="Times New Roman" w:cs="Times New Roman"/>
          <w:i w:val="0"/>
          <w:color w:val="auto"/>
          <w:u w:val="single"/>
        </w:rPr>
        <w:lastRenderedPageBreak/>
        <w:t>Discounted future cash flow method</w:t>
      </w:r>
    </w:p>
    <w:p w:rsidR="008D04CB" w:rsidRDefault="008D04CB">
      <w:pPr>
        <w:pStyle w:val="OO"/>
      </w:pPr>
      <w:r>
        <w:tab/>
      </w:r>
      <w:r>
        <w:tab/>
      </w:r>
    </w:p>
    <w:p w:rsidR="008D04CB" w:rsidRDefault="008D04CB" w:rsidP="00AA2226">
      <w:pPr>
        <w:pStyle w:val="OO"/>
        <w:tabs>
          <w:tab w:val="clear" w:pos="1152"/>
          <w:tab w:val="clear" w:pos="1728"/>
          <w:tab w:val="left" w:pos="0"/>
        </w:tabs>
        <w:ind w:left="0" w:firstLine="0"/>
      </w:pPr>
      <w:r>
        <w:t>This method bases the value on the projections of cash flow provided by the management of the company to be valued.  We use the discount rate that we covered in the discussion of the capitalization of cash flow method to discount the expected cash flows to the val</w:t>
      </w:r>
      <w:r>
        <w:t>u</w:t>
      </w:r>
      <w:r>
        <w:t>ation date.</w:t>
      </w:r>
    </w:p>
    <w:p w:rsidR="008D04CB" w:rsidRDefault="008D04CB" w:rsidP="00AA2226">
      <w:pPr>
        <w:pStyle w:val="OO"/>
        <w:tabs>
          <w:tab w:val="clear" w:pos="1152"/>
          <w:tab w:val="clear" w:pos="1728"/>
          <w:tab w:val="left" w:pos="0"/>
        </w:tabs>
        <w:ind w:left="0" w:firstLine="0"/>
      </w:pPr>
    </w:p>
    <w:p w:rsidR="008D04CB" w:rsidRDefault="008D04CB" w:rsidP="00AA2226">
      <w:pPr>
        <w:pStyle w:val="OO"/>
        <w:tabs>
          <w:tab w:val="clear" w:pos="1152"/>
          <w:tab w:val="clear" w:pos="1728"/>
          <w:tab w:val="left" w:pos="0"/>
        </w:tabs>
        <w:ind w:left="0" w:firstLine="0"/>
      </w:pPr>
      <w:r>
        <w:t>As in the case of the capitalization of cash flow method, we depend upon investment d</w:t>
      </w:r>
      <w:r>
        <w:t>a</w:t>
      </w:r>
      <w:r>
        <w:t>ta, in the form of a discount rate and capitalization rate, and cash flows.  In this case, the future cash flows were projected by management.</w:t>
      </w:r>
    </w:p>
    <w:p w:rsidR="008D04CB" w:rsidRDefault="008D04CB" w:rsidP="00AA2226">
      <w:pPr>
        <w:pStyle w:val="ON"/>
        <w:tabs>
          <w:tab w:val="clear" w:pos="1152"/>
          <w:tab w:val="left" w:pos="0"/>
        </w:tabs>
        <w:ind w:left="0" w:firstLine="0"/>
      </w:pPr>
    </w:p>
    <w:p w:rsidR="008D04CB" w:rsidRDefault="008D04CB" w:rsidP="00AA2226">
      <w:pPr>
        <w:pStyle w:val="OO"/>
        <w:tabs>
          <w:tab w:val="clear" w:pos="1152"/>
          <w:tab w:val="clear" w:pos="1728"/>
          <w:tab w:val="left" w:pos="0"/>
        </w:tabs>
        <w:ind w:left="0" w:firstLine="0"/>
      </w:pPr>
      <w:r>
        <w:t xml:space="preserve">One difficulty of using the discounted future cash flow method is that management can effectively control the ultimate value of the company through its cash flow projections.  If management inflates the projections, the value would, of course, be inflated.  In the chart that we just discussed, we see that management forecasted much higher cash flows into the future than there were in the past.  In the next chart below, we see the classic </w:t>
      </w:r>
      <w:r>
        <w:rPr>
          <w:i/>
          <w:iCs/>
        </w:rPr>
        <w:t>hockey stick</w:t>
      </w:r>
      <w:r>
        <w:t>.</w:t>
      </w:r>
    </w:p>
    <w:p w:rsidR="008D04CB" w:rsidRDefault="008D04CB" w:rsidP="00AA2226">
      <w:pPr>
        <w:pStyle w:val="OP"/>
        <w:tabs>
          <w:tab w:val="left" w:pos="0"/>
        </w:tabs>
        <w:ind w:left="0" w:firstLine="0"/>
      </w:pPr>
    </w:p>
    <w:p w:rsidR="00A41CBA" w:rsidRDefault="00985F45" w:rsidP="00AA2226">
      <w:pPr>
        <w:pStyle w:val="OO"/>
        <w:tabs>
          <w:tab w:val="clear" w:pos="1152"/>
          <w:tab w:val="left" w:pos="0"/>
        </w:tabs>
        <w:ind w:left="0" w:firstLine="0"/>
      </w:pPr>
      <w:r w:rsidRPr="00985F45">
        <w:rPr>
          <w:noProof/>
        </w:rPr>
        <w:drawing>
          <wp:inline distT="0" distB="0" distL="0" distR="0" wp14:anchorId="0DC46EF0" wp14:editId="43E0A71B">
            <wp:extent cx="6127200" cy="3664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D04CB">
        <w:tab/>
      </w:r>
      <w:r w:rsidR="008D04CB">
        <w:tab/>
      </w:r>
    </w:p>
    <w:p w:rsidR="008D04CB" w:rsidRDefault="008D04CB" w:rsidP="00AA2226">
      <w:pPr>
        <w:pStyle w:val="OO"/>
        <w:tabs>
          <w:tab w:val="clear" w:pos="1152"/>
          <w:tab w:val="left" w:pos="0"/>
        </w:tabs>
        <w:ind w:left="0" w:firstLine="0"/>
      </w:pPr>
      <w:r>
        <w:t>In the last two charts, we can see that some exploration of the validity of the projections is necessary in order for this valuation method to be used to produce near realistic results.</w:t>
      </w:r>
    </w:p>
    <w:p w:rsidR="008D04CB" w:rsidRDefault="008D04CB" w:rsidP="00AA2226">
      <w:pPr>
        <w:pStyle w:val="OO"/>
        <w:tabs>
          <w:tab w:val="clear" w:pos="1152"/>
          <w:tab w:val="left" w:pos="0"/>
        </w:tabs>
        <w:ind w:left="0" w:firstLine="0"/>
      </w:pPr>
    </w:p>
    <w:p w:rsidR="008D04CB" w:rsidRPr="00EE3FFB" w:rsidRDefault="008D04CB" w:rsidP="00AA2226">
      <w:pPr>
        <w:pStyle w:val="OO"/>
        <w:tabs>
          <w:tab w:val="clear" w:pos="1152"/>
          <w:tab w:val="left" w:pos="0"/>
        </w:tabs>
        <w:ind w:left="0" w:firstLine="0"/>
      </w:pPr>
      <w:r>
        <w:t xml:space="preserve">We keep close track of how reliable the Company is at achieving its projections when we </w:t>
      </w:r>
      <w:r>
        <w:lastRenderedPageBreak/>
        <w:t xml:space="preserve">do the valuation annually.  When we apply the discounted future cash flow valuation method, the historic reliability of the Company’s projections will be considered in our choice of a discount rate or a </w:t>
      </w:r>
      <w:r w:rsidRPr="00EE3FFB">
        <w:rPr>
          <w:i/>
        </w:rPr>
        <w:t>probability adjustment</w:t>
      </w:r>
      <w:r w:rsidRPr="00EE3FFB">
        <w:t>.</w:t>
      </w:r>
    </w:p>
    <w:p w:rsidR="008D04CB" w:rsidRDefault="008D04CB" w:rsidP="00AA2226">
      <w:pPr>
        <w:pStyle w:val="OO"/>
        <w:tabs>
          <w:tab w:val="clear" w:pos="1152"/>
          <w:tab w:val="left" w:pos="0"/>
        </w:tabs>
        <w:ind w:left="0" w:firstLine="0"/>
      </w:pPr>
    </w:p>
    <w:p w:rsidR="008D04CB" w:rsidRDefault="008D04CB" w:rsidP="00AA2226">
      <w:pPr>
        <w:pStyle w:val="OO"/>
        <w:tabs>
          <w:tab w:val="clear" w:pos="1152"/>
          <w:tab w:val="left" w:pos="0"/>
        </w:tabs>
        <w:ind w:left="0" w:firstLine="0"/>
      </w:pPr>
      <w:r>
        <w:t xml:space="preserve">Another distorting factor in the application of the discounted future cash flow method is the </w:t>
      </w:r>
      <w:r>
        <w:rPr>
          <w:i/>
          <w:iCs/>
        </w:rPr>
        <w:t>terminal value</w:t>
      </w:r>
      <w:r>
        <w:t xml:space="preserve">.  In the last year of the </w:t>
      </w:r>
      <w:r w:rsidR="00EC0CDE">
        <w:t>projection</w:t>
      </w:r>
      <w:r>
        <w:t>, we anticipate what the Company will be worth in that year.  This figure is usually based upon the cash flow that is e</w:t>
      </w:r>
      <w:r>
        <w:t>x</w:t>
      </w:r>
      <w:r>
        <w:t>pected to be generated by the company in that year.  If, therefore, that last year’s cash flow figure is particularly high, the whole valuation may be distorted.</w:t>
      </w:r>
    </w:p>
    <w:p w:rsidR="00F01CF9" w:rsidRDefault="00F01CF9" w:rsidP="00AA2226">
      <w:pPr>
        <w:pStyle w:val="OO"/>
        <w:tabs>
          <w:tab w:val="clear" w:pos="1152"/>
          <w:tab w:val="left" w:pos="0"/>
        </w:tabs>
        <w:ind w:left="0" w:firstLine="0"/>
      </w:pPr>
    </w:p>
    <w:p w:rsidR="00F01CF9" w:rsidRDefault="00D10363" w:rsidP="00AA2226">
      <w:pPr>
        <w:pStyle w:val="OO"/>
        <w:tabs>
          <w:tab w:val="clear" w:pos="1152"/>
          <w:tab w:val="left" w:pos="0"/>
        </w:tabs>
        <w:ind w:left="0" w:firstLine="0"/>
      </w:pPr>
      <w:r>
        <w:t>In the next three charts, below, we show a comparison between projections (revenue, EBITDA and EBITDA margins) made in 2010 and those made in 2011:</w:t>
      </w:r>
    </w:p>
    <w:p w:rsidR="00A41CBA" w:rsidRDefault="00A41CBA" w:rsidP="00AA2226">
      <w:pPr>
        <w:spacing w:line="240" w:lineRule="auto"/>
        <w:jc w:val="left"/>
      </w:pPr>
    </w:p>
    <w:p w:rsidR="00AA2226" w:rsidRDefault="00985F45" w:rsidP="00645AA9">
      <w:pPr>
        <w:pStyle w:val="T3"/>
        <w:jc w:val="center"/>
      </w:pPr>
      <w:r w:rsidRPr="00985F45">
        <w:t>Revenue Projections: Last Year and This Year</w:t>
      </w:r>
      <w:r w:rsidR="00C03F5E">
        <w:br/>
      </w:r>
    </w:p>
    <w:p w:rsidR="00645AA9" w:rsidRDefault="00985F45" w:rsidP="00645AA9">
      <w:pPr>
        <w:pStyle w:val="T3"/>
        <w:jc w:val="center"/>
      </w:pPr>
      <w:r w:rsidRPr="00985F45">
        <w:rPr>
          <w:noProof/>
        </w:rPr>
        <w:drawing>
          <wp:inline distT="0" distB="0" distL="0" distR="0" wp14:anchorId="1C77A04F" wp14:editId="344DC6F3">
            <wp:extent cx="5486400" cy="3218400"/>
            <wp:effectExtent l="0" t="0" r="19050" b="203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4CB" w:rsidRDefault="008D04CB">
      <w:pPr>
        <w:pStyle w:val="OO"/>
      </w:pPr>
    </w:p>
    <w:p w:rsidR="00975CFB" w:rsidRDefault="00224E51" w:rsidP="00975CFB">
      <w:pPr>
        <w:pStyle w:val="T3"/>
        <w:jc w:val="center"/>
      </w:pPr>
      <w:r w:rsidRPr="00224E51">
        <w:t>EBITDA Projections: Last Year and This Year</w:t>
      </w:r>
      <w:r w:rsidR="00C03F5E">
        <w:br/>
      </w:r>
      <w:r w:rsidR="00C03F5E">
        <w:br/>
      </w:r>
      <w:r w:rsidRPr="00224E51">
        <w:rPr>
          <w:noProof/>
        </w:rPr>
        <w:lastRenderedPageBreak/>
        <w:drawing>
          <wp:inline distT="0" distB="0" distL="0" distR="0" wp14:anchorId="26D6205C" wp14:editId="7FA43938">
            <wp:extent cx="5486400" cy="3067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CFB" w:rsidRDefault="00975CFB">
      <w:pPr>
        <w:pStyle w:val="OO"/>
      </w:pPr>
    </w:p>
    <w:p w:rsidR="00975CFB" w:rsidRDefault="00C03F5E" w:rsidP="0097023E">
      <w:pPr>
        <w:pStyle w:val="T3"/>
        <w:jc w:val="center"/>
      </w:pPr>
      <w:r w:rsidRPr="00C03F5E">
        <w:t>EBITDA Margin Projections: Last Year and This Year</w:t>
      </w:r>
      <w:r>
        <w:br/>
      </w:r>
      <w:r>
        <w:br/>
      </w:r>
      <w:r w:rsidRPr="00C03F5E">
        <w:rPr>
          <w:noProof/>
        </w:rPr>
        <w:drawing>
          <wp:inline distT="0" distB="0" distL="0" distR="0" wp14:anchorId="5A340457" wp14:editId="18976622">
            <wp:extent cx="5486400" cy="2986454"/>
            <wp:effectExtent l="0" t="0" r="19050" b="234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5CFB" w:rsidRDefault="00151E26" w:rsidP="00C81EDB">
      <w:pPr>
        <w:pStyle w:val="OO"/>
        <w:tabs>
          <w:tab w:val="clear" w:pos="1728"/>
          <w:tab w:val="left" w:pos="0"/>
        </w:tabs>
        <w:ind w:left="0" w:firstLine="0"/>
      </w:pPr>
      <w:r>
        <w:t xml:space="preserve">As can be seen, management in 2011 is now forecasting </w:t>
      </w:r>
      <w:r w:rsidR="005166B5">
        <w:t>low</w:t>
      </w:r>
      <w:r w:rsidR="00CF24BE">
        <w:t>er</w:t>
      </w:r>
      <w:r w:rsidR="005166B5">
        <w:t xml:space="preserve"> revenue and sharply </w:t>
      </w:r>
      <w:r w:rsidR="00C81EDB">
        <w:t xml:space="preserve">lower </w:t>
      </w:r>
      <w:r w:rsidR="005166B5">
        <w:t>margins and profits</w:t>
      </w:r>
      <w:r w:rsidR="00C81EDB">
        <w:t>.</w:t>
      </w:r>
    </w:p>
    <w:p w:rsidR="00151E26" w:rsidRDefault="00C03F5E" w:rsidP="00C81EDB">
      <w:pPr>
        <w:pStyle w:val="OO"/>
        <w:tabs>
          <w:tab w:val="clear" w:pos="1728"/>
          <w:tab w:val="left" w:pos="0"/>
        </w:tabs>
        <w:ind w:left="0" w:firstLine="0"/>
      </w:pPr>
      <w:r>
        <w:br/>
      </w:r>
    </w:p>
    <w:p w:rsidR="00151E26" w:rsidRDefault="00FB3C2D" w:rsidP="00C81EDB">
      <w:pPr>
        <w:pStyle w:val="OO"/>
        <w:tabs>
          <w:tab w:val="clear" w:pos="1728"/>
          <w:tab w:val="left" w:pos="0"/>
        </w:tabs>
        <w:ind w:left="0" w:firstLine="0"/>
      </w:pPr>
      <w:r>
        <w:t>The</w:t>
      </w:r>
      <w:r w:rsidR="005B3190">
        <w:t xml:space="preserve"> next</w:t>
      </w:r>
      <w:r>
        <w:t xml:space="preserve"> chart shows how successful a company has been at forecasting its EBITDA since 2005:</w:t>
      </w:r>
    </w:p>
    <w:p w:rsidR="00151E26" w:rsidRDefault="00151E26">
      <w:pPr>
        <w:pStyle w:val="OO"/>
      </w:pPr>
    </w:p>
    <w:p w:rsidR="0077029E" w:rsidRDefault="00FB3C2D" w:rsidP="00DB6914">
      <w:pPr>
        <w:spacing w:line="240" w:lineRule="auto"/>
        <w:jc w:val="center"/>
      </w:pPr>
      <w:r>
        <w:br w:type="page"/>
      </w:r>
      <w:r w:rsidR="00C03F5E" w:rsidRPr="00C03F5E">
        <w:lastRenderedPageBreak/>
        <w:t>Historic Success At Forecasting Next Year’s EBITDA</w:t>
      </w:r>
    </w:p>
    <w:p w:rsidR="0077029E" w:rsidRDefault="0077029E">
      <w:pPr>
        <w:pStyle w:val="OO"/>
      </w:pPr>
    </w:p>
    <w:p w:rsidR="0077029E" w:rsidRDefault="00C03F5E">
      <w:pPr>
        <w:pStyle w:val="OO"/>
      </w:pPr>
      <w:r w:rsidRPr="00C03F5E">
        <w:rPr>
          <w:noProof/>
        </w:rPr>
        <w:drawing>
          <wp:inline distT="0" distB="0" distL="0" distR="0" wp14:anchorId="0335E8BE" wp14:editId="462E71F4">
            <wp:extent cx="5486400" cy="295656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029E" w:rsidRDefault="0077029E">
      <w:pPr>
        <w:pStyle w:val="OO"/>
      </w:pPr>
    </w:p>
    <w:p w:rsidR="0077029E" w:rsidRDefault="00FB3C2D">
      <w:pPr>
        <w:pStyle w:val="OO"/>
      </w:pPr>
      <w:r>
        <w:t xml:space="preserve">As can be seen, the success rate has been </w:t>
      </w:r>
      <w:r w:rsidR="00DB6914">
        <w:t xml:space="preserve">somewhat </w:t>
      </w:r>
      <w:r>
        <w:t>mixed.</w:t>
      </w:r>
    </w:p>
    <w:p w:rsidR="0077029E" w:rsidRDefault="0077029E">
      <w:pPr>
        <w:pStyle w:val="OO"/>
      </w:pPr>
    </w:p>
    <w:p w:rsidR="00995863" w:rsidRDefault="00995863" w:rsidP="00DE34DB">
      <w:pPr>
        <w:pStyle w:val="ON"/>
        <w:ind w:left="0" w:firstLine="0"/>
      </w:pPr>
    </w:p>
    <w:p w:rsidR="00995863" w:rsidRDefault="00995863" w:rsidP="00995863">
      <w:pPr>
        <w:pStyle w:val="OM"/>
        <w:ind w:left="0" w:firstLine="0"/>
        <w:rPr>
          <w:sz w:val="28"/>
          <w:szCs w:val="28"/>
        </w:rPr>
      </w:pPr>
      <w:r>
        <w:rPr>
          <w:sz w:val="28"/>
          <w:szCs w:val="28"/>
        </w:rPr>
        <w:t>Adjustments to Value</w:t>
      </w:r>
    </w:p>
    <w:p w:rsidR="00995863" w:rsidRPr="006B6E3B" w:rsidRDefault="00995863" w:rsidP="00995863">
      <w:pPr>
        <w:pStyle w:val="OM"/>
        <w:pBdr>
          <w:top w:val="single" w:sz="18" w:space="1" w:color="1F497D" w:themeColor="text2"/>
        </w:pBdr>
        <w:ind w:left="0" w:firstLine="0"/>
        <w:rPr>
          <w:sz w:val="28"/>
          <w:szCs w:val="28"/>
        </w:rPr>
      </w:pPr>
    </w:p>
    <w:p w:rsidR="008D04CB" w:rsidRDefault="008D04CB">
      <w:pPr>
        <w:pStyle w:val="OM"/>
      </w:pPr>
      <w:r>
        <w:tab/>
        <w:t>A very simplified illustration of control and marketability adjustments is shown below</w:t>
      </w:r>
      <w:r w:rsidRPr="00113CB1">
        <w:t>.</w:t>
      </w:r>
      <w:r w:rsidR="005B144C">
        <w:t xml:space="preserve">  This is known as a “level of value” chart.</w:t>
      </w:r>
    </w:p>
    <w:p w:rsidR="008D04CB" w:rsidRDefault="008D04CB">
      <w:pPr>
        <w:pStyle w:val="OM"/>
      </w:pPr>
    </w:p>
    <w:p w:rsidR="008D04CB" w:rsidRDefault="008D04CB">
      <w:pPr>
        <w:pStyle w:val="OM"/>
      </w:pPr>
    </w:p>
    <w:bookmarkStart w:id="2" w:name="_MON_978612331"/>
    <w:bookmarkEnd w:id="2"/>
    <w:p w:rsidR="008D04CB" w:rsidRDefault="00A13882">
      <w:pPr>
        <w:pStyle w:val="OM"/>
      </w:pPr>
      <w:r>
        <w:rPr>
          <w:color w:val="000000"/>
        </w:rPr>
        <w:object w:dxaOrig="6825"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1pt;height:304.85pt" o:ole="" fillcolor="window">
            <v:imagedata r:id="rId18" o:title="" cropbottom="1816f"/>
          </v:shape>
          <o:OLEObject Type="Embed" ProgID="PowerPoint.Slide.8" ShapeID="_x0000_i1025" DrawAspect="Content" ObjectID="_1413128723" r:id="rId19"/>
        </w:object>
      </w:r>
    </w:p>
    <w:p w:rsidR="00DB6914" w:rsidRPr="00700568" w:rsidRDefault="00DB6914" w:rsidP="00DB6914">
      <w:pPr>
        <w:pStyle w:val="Subtitle"/>
        <w:jc w:val="left"/>
        <w:rPr>
          <w:rFonts w:ascii="Times New Roman" w:hAnsi="Times New Roman" w:cs="Times New Roman"/>
          <w:i w:val="0"/>
          <w:color w:val="auto"/>
          <w:u w:val="single"/>
        </w:rPr>
      </w:pPr>
      <w:r w:rsidRPr="00DB6914">
        <w:rPr>
          <w:rFonts w:ascii="Times New Roman" w:hAnsi="Times New Roman" w:cs="Times New Roman"/>
          <w:i w:val="0"/>
          <w:color w:val="auto"/>
          <w:u w:val="single"/>
        </w:rPr>
        <w:t>Non-controlling versus controlling interests</w:t>
      </w:r>
    </w:p>
    <w:p w:rsidR="008D04CB" w:rsidRDefault="008D04CB">
      <w:pPr>
        <w:pStyle w:val="OO"/>
      </w:pPr>
    </w:p>
    <w:p w:rsidR="008D04CB" w:rsidRDefault="008D04CB" w:rsidP="00DB6914">
      <w:pPr>
        <w:pStyle w:val="ON"/>
        <w:tabs>
          <w:tab w:val="clear" w:pos="1152"/>
          <w:tab w:val="left" w:pos="0"/>
        </w:tabs>
        <w:ind w:left="0" w:firstLine="0"/>
      </w:pPr>
      <w:r>
        <w:t>This is a complicated issue.  There is some question as to whether ESOP stock can be valued on a controlling-interest basis (</w:t>
      </w:r>
      <w:r>
        <w:rPr>
          <w:i/>
          <w:iCs/>
        </w:rPr>
        <w:t>Eckelcamp</w:t>
      </w:r>
      <w:r>
        <w:t xml:space="preserve"> etc.), whether that valuation is for the initial ESOP purchase or i</w:t>
      </w:r>
      <w:r w:rsidR="00DB6914">
        <w:t>f i</w:t>
      </w:r>
      <w:r>
        <w:t>t is for an annual update.  For purposes of this discussion, we will assume that it is possible to value ESOP stock on a controlling-interest basis.</w:t>
      </w:r>
    </w:p>
    <w:p w:rsidR="008D04CB" w:rsidRDefault="008D04CB">
      <w:pPr>
        <w:pStyle w:val="ON"/>
      </w:pPr>
    </w:p>
    <w:p w:rsidR="008D04CB" w:rsidRPr="00DB6914" w:rsidRDefault="008D04CB">
      <w:pPr>
        <w:pStyle w:val="OO"/>
        <w:rPr>
          <w:i/>
        </w:rPr>
      </w:pPr>
      <w:r w:rsidRPr="00DB6914">
        <w:rPr>
          <w:i/>
        </w:rPr>
        <w:t>What is control?</w:t>
      </w:r>
    </w:p>
    <w:p w:rsidR="008D04CB" w:rsidRDefault="008D04CB">
      <w:pPr>
        <w:pStyle w:val="OO"/>
      </w:pPr>
    </w:p>
    <w:p w:rsidR="008D04CB" w:rsidRDefault="008D04CB" w:rsidP="00DB6914">
      <w:pPr>
        <w:pStyle w:val="OO"/>
        <w:ind w:left="0" w:firstLine="0"/>
      </w:pPr>
      <w:r>
        <w:t>It should be up to the ESOP’s counsel to decide whether the ESOP owns a controlling interest in the company.</w:t>
      </w:r>
      <w:r w:rsidR="0010044E">
        <w:t xml:space="preserve">  </w:t>
      </w:r>
      <w:r>
        <w:t>“Control” can mean owning over 50% of the common stock and may have something to do with the actual control that the ESOP trustees have over the policies of the company.</w:t>
      </w:r>
    </w:p>
    <w:p w:rsidR="008D04CB" w:rsidRDefault="008D04CB" w:rsidP="00DB6914">
      <w:pPr>
        <w:pStyle w:val="OO"/>
        <w:ind w:left="0" w:firstLine="0"/>
      </w:pPr>
    </w:p>
    <w:p w:rsidR="008D04CB" w:rsidRPr="00DB6914" w:rsidRDefault="005822F3" w:rsidP="00DB6914">
      <w:pPr>
        <w:pStyle w:val="OO"/>
        <w:ind w:left="0" w:firstLine="0"/>
        <w:rPr>
          <w:i/>
        </w:rPr>
      </w:pPr>
      <w:r w:rsidRPr="00DB6914">
        <w:rPr>
          <w:i/>
        </w:rPr>
        <w:t>Discount for lack of control</w:t>
      </w:r>
      <w:r w:rsidR="00DB6914">
        <w:rPr>
          <w:i/>
        </w:rPr>
        <w:t xml:space="preserve"> versus control premium</w:t>
      </w:r>
    </w:p>
    <w:p w:rsidR="008D04CB" w:rsidRDefault="008D04CB" w:rsidP="00DB6914">
      <w:pPr>
        <w:pStyle w:val="OO"/>
        <w:ind w:left="0" w:firstLine="0"/>
      </w:pPr>
    </w:p>
    <w:p w:rsidR="008D04CB" w:rsidRDefault="008D04CB" w:rsidP="00DB6914">
      <w:pPr>
        <w:pStyle w:val="OO"/>
        <w:ind w:left="0" w:firstLine="0"/>
      </w:pPr>
      <w:r>
        <w:t>Different valuation methods applied in different ways may yield either a controlling value or a non-controlling value.</w:t>
      </w:r>
      <w:r w:rsidR="0010044E">
        <w:t xml:space="preserve">  </w:t>
      </w:r>
      <w:r>
        <w:t>So, if the desired result is a non-controlling interest value, we would not necessarily apply a minority discount since the method being applied may</w:t>
      </w:r>
      <w:r w:rsidR="00537B2B">
        <w:t xml:space="preserve"> a</w:t>
      </w:r>
      <w:r w:rsidR="00537B2B">
        <w:t>c</w:t>
      </w:r>
      <w:r w:rsidR="00537B2B">
        <w:t>tually</w:t>
      </w:r>
      <w:r>
        <w:t xml:space="preserve"> yield a non-controlling (or minority) interest value.</w:t>
      </w:r>
    </w:p>
    <w:p w:rsidR="008D04CB" w:rsidRDefault="008D04CB" w:rsidP="00DB6914">
      <w:pPr>
        <w:pStyle w:val="OO"/>
        <w:ind w:left="0" w:firstLine="0"/>
      </w:pPr>
    </w:p>
    <w:p w:rsidR="008D04CB" w:rsidRDefault="008D04CB" w:rsidP="00DB6914">
      <w:pPr>
        <w:pStyle w:val="OO"/>
        <w:ind w:left="0" w:firstLine="0"/>
      </w:pPr>
      <w:r>
        <w:t xml:space="preserve">Likewise, if the desired result is a controlling interest value, we would not necessarily </w:t>
      </w:r>
      <w:r>
        <w:lastRenderedPageBreak/>
        <w:t>apply a control premium since the method being applied may</w:t>
      </w:r>
      <w:r w:rsidR="00537B2B">
        <w:t xml:space="preserve"> actually</w:t>
      </w:r>
      <w:r>
        <w:t xml:space="preserve"> yield a controlling interest value.</w:t>
      </w:r>
    </w:p>
    <w:p w:rsidR="008D04CB" w:rsidRDefault="008D04CB" w:rsidP="00DB6914">
      <w:pPr>
        <w:pStyle w:val="OO"/>
        <w:ind w:left="0" w:firstLine="0"/>
      </w:pPr>
    </w:p>
    <w:p w:rsidR="008D04CB" w:rsidRDefault="008D04CB" w:rsidP="00DB6914">
      <w:pPr>
        <w:pStyle w:val="OO"/>
        <w:ind w:left="0" w:firstLine="0"/>
      </w:pPr>
      <w:r>
        <w:t xml:space="preserve">Many appraisers believe that the application of the capitalization of cash flow method or </w:t>
      </w:r>
      <w:r w:rsidR="000C34A7">
        <w:t>a</w:t>
      </w:r>
      <w:r>
        <w:t xml:space="preserve"> market method using publicly-traded guideline companies yields a non-controlling va</w:t>
      </w:r>
      <w:r>
        <w:t>l</w:t>
      </w:r>
      <w:r>
        <w:t>ue.  There is some controversy on this subject.</w:t>
      </w:r>
    </w:p>
    <w:p w:rsidR="008D04CB" w:rsidRDefault="008D04CB" w:rsidP="00DB6914">
      <w:pPr>
        <w:pStyle w:val="OO"/>
        <w:ind w:left="0" w:firstLine="0"/>
      </w:pPr>
    </w:p>
    <w:p w:rsidR="008D04CB" w:rsidRDefault="008D04CB" w:rsidP="00DB6914">
      <w:pPr>
        <w:pStyle w:val="OO"/>
        <w:ind w:left="0" w:firstLine="0"/>
      </w:pPr>
      <w:r>
        <w:t>Typically, values yielded by non-publicly-traded companies will be controlling values because the transactions upon which the values are based are sales of whole companies.  Then there may be adjustments necessary when the transaction is an asset sale as opposed to a stock sale.</w:t>
      </w:r>
    </w:p>
    <w:p w:rsidR="008D04CB" w:rsidRDefault="008D04CB" w:rsidP="00DB6914">
      <w:pPr>
        <w:pStyle w:val="OO"/>
        <w:ind w:left="0" w:firstLine="0"/>
      </w:pPr>
    </w:p>
    <w:p w:rsidR="008D04CB" w:rsidRDefault="008D04CB" w:rsidP="00DB6914">
      <w:pPr>
        <w:pStyle w:val="OO"/>
        <w:ind w:left="0" w:firstLine="0"/>
      </w:pPr>
      <w:r>
        <w:t>Some appraisers contend that there should be no such thing as a control premium.  Their argument is that if there is a difference between a non-controlling interest and a contro</w:t>
      </w:r>
      <w:r>
        <w:t>l</w:t>
      </w:r>
      <w:r>
        <w:t>ling interest value, that difference would be represented by additional cash flows that would be available to co-owners because of the control.  I believe that even if there are no additional cash flows evident from the acquisition of a controlling interest in a company, there is still additional value that accompanies control.</w:t>
      </w:r>
    </w:p>
    <w:p w:rsidR="008D04CB" w:rsidRDefault="00DB6914" w:rsidP="00DB6914">
      <w:pPr>
        <w:pStyle w:val="Subtitle"/>
        <w:jc w:val="left"/>
      </w:pPr>
      <w:r w:rsidRPr="00DB6914">
        <w:rPr>
          <w:rFonts w:ascii="Times New Roman" w:hAnsi="Times New Roman" w:cs="Times New Roman"/>
          <w:i w:val="0"/>
          <w:color w:val="auto"/>
          <w:u w:val="single"/>
        </w:rPr>
        <w:t xml:space="preserve">Discount for lack of marketability </w:t>
      </w:r>
    </w:p>
    <w:p w:rsidR="008D04CB" w:rsidRDefault="008D04CB">
      <w:pPr>
        <w:pStyle w:val="OM"/>
      </w:pPr>
      <w:r>
        <w:tab/>
      </w:r>
    </w:p>
    <w:p w:rsidR="008D04CB" w:rsidRDefault="008D04CB" w:rsidP="00DB6914">
      <w:pPr>
        <w:pStyle w:val="ON"/>
        <w:tabs>
          <w:tab w:val="clear" w:pos="1152"/>
          <w:tab w:val="left" w:pos="0"/>
        </w:tabs>
        <w:ind w:left="0" w:firstLine="0"/>
      </w:pPr>
      <w:r>
        <w:t xml:space="preserve">If the ESOP stock is not publicly-traded, the stock should be valued on a </w:t>
      </w:r>
      <w:r>
        <w:rPr>
          <w:i/>
          <w:iCs/>
        </w:rPr>
        <w:t>non-marketable interest basis</w:t>
      </w:r>
      <w:r>
        <w:t>.</w:t>
      </w:r>
    </w:p>
    <w:p w:rsidR="008D04CB" w:rsidRDefault="008D04CB" w:rsidP="00DB6914">
      <w:pPr>
        <w:pStyle w:val="ON"/>
        <w:tabs>
          <w:tab w:val="clear" w:pos="1152"/>
          <w:tab w:val="left" w:pos="0"/>
        </w:tabs>
        <w:ind w:left="0" w:firstLine="0"/>
      </w:pPr>
    </w:p>
    <w:p w:rsidR="008D04CB" w:rsidRDefault="008D04CB" w:rsidP="00DB6914">
      <w:pPr>
        <w:pStyle w:val="ON"/>
        <w:tabs>
          <w:tab w:val="clear" w:pos="1152"/>
          <w:tab w:val="left" w:pos="0"/>
        </w:tabs>
        <w:ind w:left="0" w:firstLine="0"/>
      </w:pPr>
      <w:r>
        <w:t xml:space="preserve">Many appraisers believe that the application of the capitalization of cash flow method or </w:t>
      </w:r>
      <w:r w:rsidR="00311BA0">
        <w:t>a</w:t>
      </w:r>
      <w:r>
        <w:t xml:space="preserve"> market method, using publicly-traded guideline companies, yields a marketable inte</w:t>
      </w:r>
      <w:r>
        <w:t>r</w:t>
      </w:r>
      <w:r>
        <w:t>est value.  In order to translate this marketable interest value into a non-marketable inte</w:t>
      </w:r>
      <w:r>
        <w:t>r</w:t>
      </w:r>
      <w:r>
        <w:t>est value, we typically apply a discount for lack of marketability.</w:t>
      </w:r>
    </w:p>
    <w:p w:rsidR="008D04CB" w:rsidRDefault="008D04CB" w:rsidP="00DB6914">
      <w:pPr>
        <w:pStyle w:val="ON"/>
        <w:tabs>
          <w:tab w:val="clear" w:pos="1152"/>
          <w:tab w:val="left" w:pos="0"/>
        </w:tabs>
        <w:ind w:left="0" w:firstLine="0"/>
      </w:pPr>
    </w:p>
    <w:p w:rsidR="008D04CB" w:rsidRDefault="008D04CB" w:rsidP="00DB6914">
      <w:pPr>
        <w:pStyle w:val="ON"/>
        <w:tabs>
          <w:tab w:val="clear" w:pos="1152"/>
          <w:tab w:val="left" w:pos="0"/>
        </w:tabs>
        <w:ind w:left="0" w:firstLine="0"/>
      </w:pPr>
      <w:r>
        <w:t>These discounts are often based upon studies of either initial public offering (“IPO”) di</w:t>
      </w:r>
      <w:r>
        <w:t>s</w:t>
      </w:r>
      <w:r>
        <w:t xml:space="preserve">counts and/or discounts </w:t>
      </w:r>
      <w:r w:rsidR="00E17A93">
        <w:t>found</w:t>
      </w:r>
      <w:r>
        <w:t xml:space="preserve"> in restricted stock studies.  There are a number of IPO and restricted stock studies that appraiser</w:t>
      </w:r>
      <w:r w:rsidR="00950869">
        <w:t>s</w:t>
      </w:r>
      <w:r>
        <w:t xml:space="preserve"> use to help them estimate a discount for lack of ma</w:t>
      </w:r>
      <w:r>
        <w:t>r</w:t>
      </w:r>
      <w:r>
        <w:t>ketability.</w:t>
      </w:r>
    </w:p>
    <w:p w:rsidR="008D04CB" w:rsidRDefault="008D04CB" w:rsidP="00DB6914">
      <w:pPr>
        <w:pStyle w:val="ON"/>
        <w:tabs>
          <w:tab w:val="clear" w:pos="1152"/>
          <w:tab w:val="left" w:pos="0"/>
        </w:tabs>
        <w:ind w:left="0" w:firstLine="0"/>
      </w:pPr>
    </w:p>
    <w:p w:rsidR="008D04CB" w:rsidRDefault="008D04CB" w:rsidP="00DB6914">
      <w:pPr>
        <w:pStyle w:val="ON"/>
        <w:tabs>
          <w:tab w:val="clear" w:pos="1152"/>
          <w:tab w:val="left" w:pos="0"/>
        </w:tabs>
        <w:ind w:left="0" w:firstLine="0"/>
      </w:pPr>
      <w:r>
        <w:t>There are several factors that are typically considered in estimating a discount.  They i</w:t>
      </w:r>
      <w:r>
        <w:t>n</w:t>
      </w:r>
      <w:r>
        <w:t>clude:</w:t>
      </w:r>
    </w:p>
    <w:p w:rsidR="008D04CB" w:rsidRDefault="008D04CB">
      <w:pPr>
        <w:pStyle w:val="ON"/>
      </w:pPr>
    </w:p>
    <w:p w:rsidR="008D04CB" w:rsidRDefault="008D04CB" w:rsidP="009B4F05">
      <w:pPr>
        <w:pStyle w:val="OO"/>
        <w:numPr>
          <w:ilvl w:val="0"/>
          <w:numId w:val="20"/>
        </w:numPr>
      </w:pPr>
      <w:r>
        <w:t>The size of the block being valued.</w:t>
      </w:r>
    </w:p>
    <w:p w:rsidR="008D04CB" w:rsidRDefault="008D04CB">
      <w:pPr>
        <w:pStyle w:val="OO"/>
      </w:pPr>
    </w:p>
    <w:p w:rsidR="008D04CB" w:rsidRDefault="008D04CB" w:rsidP="009B4F05">
      <w:pPr>
        <w:pStyle w:val="OO"/>
        <w:numPr>
          <w:ilvl w:val="0"/>
          <w:numId w:val="20"/>
        </w:numPr>
      </w:pPr>
      <w:r>
        <w:t>The profitability of the company.</w:t>
      </w:r>
    </w:p>
    <w:p w:rsidR="008D04CB" w:rsidRDefault="008D04CB">
      <w:pPr>
        <w:pStyle w:val="OO"/>
      </w:pPr>
    </w:p>
    <w:p w:rsidR="008D04CB" w:rsidRDefault="008D04CB" w:rsidP="009B4F05">
      <w:pPr>
        <w:pStyle w:val="OO"/>
        <w:numPr>
          <w:ilvl w:val="0"/>
          <w:numId w:val="20"/>
        </w:numPr>
      </w:pPr>
      <w:r>
        <w:t>The financial condition of the company.</w:t>
      </w:r>
    </w:p>
    <w:p w:rsidR="008D04CB" w:rsidRDefault="008D04CB">
      <w:pPr>
        <w:pStyle w:val="OO"/>
      </w:pPr>
    </w:p>
    <w:p w:rsidR="008D04CB" w:rsidRDefault="008D04CB" w:rsidP="009B4F05">
      <w:pPr>
        <w:pStyle w:val="OO"/>
        <w:numPr>
          <w:ilvl w:val="0"/>
          <w:numId w:val="20"/>
        </w:numPr>
      </w:pPr>
      <w:r>
        <w:t>Any agreement, such as an ESOP trust agreement, that may create a market for the stock of the company.</w:t>
      </w:r>
    </w:p>
    <w:p w:rsidR="008D04CB" w:rsidRDefault="008D04CB">
      <w:pPr>
        <w:pStyle w:val="ON"/>
      </w:pPr>
      <w:r>
        <w:lastRenderedPageBreak/>
        <w:tab/>
      </w:r>
      <w:r>
        <w:tab/>
      </w:r>
    </w:p>
    <w:p w:rsidR="008D04CB" w:rsidRDefault="008D04CB" w:rsidP="00DB6914">
      <w:pPr>
        <w:pStyle w:val="ON"/>
        <w:tabs>
          <w:tab w:val="clear" w:pos="1152"/>
          <w:tab w:val="left" w:pos="0"/>
        </w:tabs>
        <w:ind w:left="0" w:firstLine="0"/>
      </w:pPr>
      <w:r>
        <w:t>The final factor is the justification for estimating relatively low levels of discounts for lack of marketability for ESOP stock.</w:t>
      </w:r>
    </w:p>
    <w:p w:rsidR="008D04CB" w:rsidRDefault="008D04CB">
      <w:pPr>
        <w:pStyle w:val="ON"/>
      </w:pPr>
    </w:p>
    <w:p w:rsidR="00DB6914" w:rsidRDefault="00DB6914" w:rsidP="00DB6914">
      <w:pPr>
        <w:pStyle w:val="OM"/>
        <w:ind w:left="0" w:firstLine="0"/>
        <w:rPr>
          <w:sz w:val="28"/>
          <w:szCs w:val="28"/>
        </w:rPr>
      </w:pPr>
      <w:r>
        <w:rPr>
          <w:sz w:val="28"/>
          <w:szCs w:val="28"/>
        </w:rPr>
        <w:t>Discussion</w:t>
      </w:r>
    </w:p>
    <w:p w:rsidR="00DB6914" w:rsidRPr="006B6E3B" w:rsidRDefault="00DB6914" w:rsidP="00DB6914">
      <w:pPr>
        <w:pStyle w:val="OM"/>
        <w:pBdr>
          <w:top w:val="single" w:sz="18" w:space="1" w:color="1F497D" w:themeColor="text2"/>
        </w:pBdr>
        <w:ind w:left="0" w:firstLine="0"/>
        <w:rPr>
          <w:sz w:val="28"/>
          <w:szCs w:val="28"/>
        </w:rPr>
      </w:pPr>
    </w:p>
    <w:p w:rsidR="00DB6914" w:rsidRDefault="00DB6914">
      <w:pPr>
        <w:pStyle w:val="ON"/>
      </w:pPr>
      <w:r>
        <w:t>A copy of this handout along with the lecture slides is available at</w:t>
      </w:r>
    </w:p>
    <w:p w:rsidR="00DB6914" w:rsidRDefault="003D42CA">
      <w:pPr>
        <w:pStyle w:val="OM"/>
      </w:pPr>
      <w:hyperlink r:id="rId20" w:history="1">
        <w:r w:rsidR="00DB6914" w:rsidRPr="00FC60D5">
          <w:rPr>
            <w:rStyle w:val="Hyperlink"/>
          </w:rPr>
          <w:t>http://advancedval.com/publications.html</w:t>
        </w:r>
      </w:hyperlink>
    </w:p>
    <w:p w:rsidR="008D04CB" w:rsidRDefault="008D04CB">
      <w:pPr>
        <w:pStyle w:val="OM"/>
        <w:ind w:left="0" w:firstLine="0"/>
        <w:rPr>
          <w:sz w:val="32"/>
        </w:rPr>
      </w:pPr>
    </w:p>
    <w:p w:rsidR="004169FB" w:rsidRDefault="004169FB">
      <w:pPr>
        <w:spacing w:line="240" w:lineRule="auto"/>
        <w:jc w:val="left"/>
        <w:rPr>
          <w:sz w:val="32"/>
        </w:rPr>
      </w:pPr>
      <w:r>
        <w:rPr>
          <w:sz w:val="32"/>
        </w:rPr>
        <w:br w:type="page"/>
      </w:r>
    </w:p>
    <w:p w:rsidR="004169FB" w:rsidRDefault="004169FB" w:rsidP="004169FB">
      <w:pPr>
        <w:pStyle w:val="Title1"/>
        <w:rPr>
          <w:rFonts w:ascii="Book Antiqua" w:hAnsi="Book Antiqua"/>
        </w:rPr>
      </w:pPr>
      <w:r>
        <w:rPr>
          <w:rFonts w:ascii="Book Antiqua" w:hAnsi="Book Antiqua"/>
        </w:rPr>
        <w:lastRenderedPageBreak/>
        <w:t>THE BACKGROUND OF BARRY R. GOODMAN</w:t>
      </w:r>
    </w:p>
    <w:p w:rsidR="004169FB" w:rsidRDefault="004169FB" w:rsidP="004169FB">
      <w:pPr>
        <w:pStyle w:val="T3"/>
      </w:pPr>
    </w:p>
    <w:p w:rsidR="004169FB" w:rsidRDefault="004169FB" w:rsidP="004169FB">
      <w:pPr>
        <w:pStyle w:val="T3"/>
      </w:pPr>
      <w:r>
        <w:t>He has the following professional designations that require an examination:</w:t>
      </w:r>
    </w:p>
    <w:p w:rsidR="004169FB" w:rsidRDefault="004169FB" w:rsidP="004169FB">
      <w:pPr>
        <w:pStyle w:val="T3"/>
      </w:pPr>
    </w:p>
    <w:p w:rsidR="004169FB" w:rsidRDefault="004169FB" w:rsidP="004169FB">
      <w:pPr>
        <w:pStyle w:val="T3"/>
      </w:pPr>
    </w:p>
    <w:p w:rsidR="004169FB" w:rsidRDefault="004169FB" w:rsidP="004169FB">
      <w:pPr>
        <w:pStyle w:val="centered"/>
        <w:rPr>
          <w:rFonts w:ascii="Book Antiqua" w:hAnsi="Book Antiqua"/>
        </w:rPr>
      </w:pPr>
      <w:r>
        <w:rPr>
          <w:rFonts w:ascii="Book Antiqua" w:hAnsi="Book Antiqua"/>
        </w:rPr>
        <w:t>Chartered Financial Analyst</w:t>
      </w:r>
    </w:p>
    <w:p w:rsidR="004169FB" w:rsidRDefault="004169FB" w:rsidP="004169FB">
      <w:pPr>
        <w:pStyle w:val="centered"/>
        <w:rPr>
          <w:rFonts w:ascii="Book Antiqua" w:hAnsi="Book Antiqua"/>
        </w:rPr>
      </w:pPr>
      <w:r>
        <w:rPr>
          <w:rFonts w:ascii="Book Antiqua" w:hAnsi="Book Antiqua"/>
        </w:rPr>
        <w:t>Certified Business Appraiser</w:t>
      </w:r>
    </w:p>
    <w:p w:rsidR="004169FB" w:rsidRDefault="004169FB" w:rsidP="004169FB">
      <w:pPr>
        <w:pStyle w:val="centered"/>
        <w:rPr>
          <w:rFonts w:ascii="Book Antiqua" w:hAnsi="Book Antiqua"/>
        </w:rPr>
      </w:pPr>
      <w:r>
        <w:rPr>
          <w:rFonts w:ascii="Book Antiqua" w:hAnsi="Book Antiqua"/>
        </w:rPr>
        <w:t>Certified Public Accountant</w:t>
      </w:r>
    </w:p>
    <w:p w:rsidR="004169FB" w:rsidRDefault="004169FB" w:rsidP="004169FB">
      <w:pPr>
        <w:pStyle w:val="centered"/>
        <w:rPr>
          <w:rFonts w:ascii="Book Antiqua" w:hAnsi="Book Antiqua"/>
        </w:rPr>
      </w:pPr>
      <w:r>
        <w:rPr>
          <w:rFonts w:ascii="Book Antiqua" w:hAnsi="Book Antiqua"/>
        </w:rPr>
        <w:t>Accredited in Business Valuation</w:t>
      </w:r>
    </w:p>
    <w:p w:rsidR="004169FB" w:rsidRDefault="004169FB" w:rsidP="004169FB">
      <w:pPr>
        <w:pStyle w:val="centered"/>
        <w:rPr>
          <w:rFonts w:ascii="Book Antiqua" w:hAnsi="Book Antiqua"/>
        </w:rPr>
      </w:pPr>
      <w:r>
        <w:rPr>
          <w:rFonts w:ascii="Book Antiqua" w:hAnsi="Book Antiqua"/>
        </w:rPr>
        <w:t>Accredited Senior Appraiser - American Society of Appraisers</w:t>
      </w:r>
    </w:p>
    <w:p w:rsidR="004169FB" w:rsidRDefault="004169FB" w:rsidP="004169FB">
      <w:pPr>
        <w:pStyle w:val="centered"/>
        <w:rPr>
          <w:rFonts w:ascii="Book Antiqua" w:hAnsi="Book Antiqua"/>
        </w:rPr>
      </w:pPr>
      <w:r>
        <w:rPr>
          <w:rFonts w:ascii="Book Antiqua" w:hAnsi="Book Antiqua"/>
        </w:rPr>
        <w:t>Fellow - Financial Analysts Federation</w:t>
      </w:r>
    </w:p>
    <w:p w:rsidR="004169FB" w:rsidRDefault="004169FB" w:rsidP="004169FB">
      <w:pPr>
        <w:pStyle w:val="centered"/>
        <w:rPr>
          <w:rFonts w:ascii="Book Antiqua" w:hAnsi="Book Antiqua"/>
        </w:rPr>
      </w:pPr>
      <w:r>
        <w:rPr>
          <w:rFonts w:ascii="Book Antiqua" w:hAnsi="Book Antiqua"/>
        </w:rPr>
        <w:t>Certified Financial Planner</w:t>
      </w:r>
    </w:p>
    <w:p w:rsidR="004169FB" w:rsidRDefault="004169FB" w:rsidP="004169FB">
      <w:pPr>
        <w:pStyle w:val="T3"/>
      </w:pPr>
    </w:p>
    <w:p w:rsidR="004169FB" w:rsidRDefault="004169FB" w:rsidP="004169FB">
      <w:pPr>
        <w:pStyle w:val="T3"/>
      </w:pPr>
    </w:p>
    <w:p w:rsidR="004169FB" w:rsidRDefault="004169FB" w:rsidP="004169FB">
      <w:pPr>
        <w:pStyle w:val="T3"/>
      </w:pPr>
      <w:r>
        <w:t>In addition, he is active in the following organizations:</w:t>
      </w:r>
    </w:p>
    <w:p w:rsidR="004169FB" w:rsidRDefault="004169FB" w:rsidP="004169FB">
      <w:pPr>
        <w:pStyle w:val="T3"/>
      </w:pPr>
    </w:p>
    <w:p w:rsidR="004169FB" w:rsidRDefault="004169FB" w:rsidP="004169FB">
      <w:pPr>
        <w:pStyle w:val="T3"/>
      </w:pPr>
    </w:p>
    <w:p w:rsidR="004169FB" w:rsidRDefault="004169FB" w:rsidP="004169FB">
      <w:pPr>
        <w:pStyle w:val="centered"/>
        <w:rPr>
          <w:rFonts w:ascii="Book Antiqua" w:hAnsi="Book Antiqua"/>
        </w:rPr>
      </w:pPr>
      <w:r>
        <w:rPr>
          <w:rFonts w:ascii="Book Antiqua" w:hAnsi="Book Antiqua"/>
        </w:rPr>
        <w:t>American Society of Appraisers</w:t>
      </w:r>
    </w:p>
    <w:p w:rsidR="004169FB" w:rsidRDefault="004169FB" w:rsidP="004169FB">
      <w:pPr>
        <w:pStyle w:val="centered"/>
        <w:rPr>
          <w:rFonts w:ascii="Book Antiqua" w:hAnsi="Book Antiqua"/>
        </w:rPr>
      </w:pPr>
      <w:r>
        <w:rPr>
          <w:rFonts w:ascii="Book Antiqua" w:hAnsi="Book Antiqua"/>
        </w:rPr>
        <w:t>(Business Valuation Specialty)</w:t>
      </w:r>
    </w:p>
    <w:p w:rsidR="004169FB" w:rsidRDefault="004169FB" w:rsidP="004169FB">
      <w:pPr>
        <w:pStyle w:val="centered"/>
        <w:rPr>
          <w:rFonts w:ascii="Book Antiqua" w:hAnsi="Book Antiqua"/>
        </w:rPr>
      </w:pPr>
      <w:r>
        <w:rPr>
          <w:rFonts w:ascii="Book Antiqua" w:hAnsi="Book Antiqua"/>
        </w:rPr>
        <w:t>American Institute of Certified Public Accountants</w:t>
      </w:r>
    </w:p>
    <w:p w:rsidR="004169FB" w:rsidRDefault="004169FB" w:rsidP="004169FB">
      <w:pPr>
        <w:pStyle w:val="centered"/>
        <w:rPr>
          <w:rFonts w:ascii="Book Antiqua" w:hAnsi="Book Antiqua"/>
        </w:rPr>
      </w:pPr>
      <w:r>
        <w:rPr>
          <w:rFonts w:ascii="Book Antiqua" w:hAnsi="Book Antiqua"/>
        </w:rPr>
        <w:t>Greater Washington Institute of Certified Public Accountants</w:t>
      </w:r>
    </w:p>
    <w:p w:rsidR="004169FB" w:rsidRDefault="004169FB" w:rsidP="004169FB">
      <w:pPr>
        <w:pStyle w:val="centered"/>
        <w:rPr>
          <w:rFonts w:ascii="Book Antiqua" w:hAnsi="Book Antiqua"/>
        </w:rPr>
      </w:pPr>
      <w:r>
        <w:rPr>
          <w:rFonts w:ascii="Book Antiqua" w:hAnsi="Book Antiqua"/>
        </w:rPr>
        <w:t>(Valuation Committee)</w:t>
      </w:r>
    </w:p>
    <w:p w:rsidR="004169FB" w:rsidRDefault="004169FB" w:rsidP="004169FB">
      <w:pPr>
        <w:pStyle w:val="centered"/>
        <w:rPr>
          <w:rFonts w:ascii="Book Antiqua" w:hAnsi="Book Antiqua"/>
        </w:rPr>
      </w:pPr>
      <w:r>
        <w:rPr>
          <w:rFonts w:ascii="Book Antiqua" w:hAnsi="Book Antiqua"/>
        </w:rPr>
        <w:t>Employee Stock Ownership Association</w:t>
      </w:r>
    </w:p>
    <w:p w:rsidR="004169FB" w:rsidRDefault="004169FB" w:rsidP="004169FB">
      <w:pPr>
        <w:pStyle w:val="centered"/>
        <w:rPr>
          <w:rFonts w:ascii="Book Antiqua" w:hAnsi="Book Antiqua"/>
        </w:rPr>
      </w:pPr>
      <w:r>
        <w:rPr>
          <w:rFonts w:ascii="Book Antiqua" w:hAnsi="Book Antiqua"/>
        </w:rPr>
        <w:t>(Business Valuation Advisory Committee/Chairman of Leverage Buyout Sub-Committee)</w:t>
      </w:r>
    </w:p>
    <w:p w:rsidR="004169FB" w:rsidRDefault="004169FB" w:rsidP="004169FB">
      <w:pPr>
        <w:pStyle w:val="centered"/>
        <w:rPr>
          <w:rFonts w:ascii="Book Antiqua" w:hAnsi="Book Antiqua"/>
        </w:rPr>
      </w:pPr>
      <w:r>
        <w:rPr>
          <w:rFonts w:ascii="Book Antiqua" w:hAnsi="Book Antiqua"/>
        </w:rPr>
        <w:t>National Economists Club</w:t>
      </w:r>
    </w:p>
    <w:p w:rsidR="004169FB" w:rsidRDefault="004169FB" w:rsidP="004169FB">
      <w:pPr>
        <w:pStyle w:val="centered"/>
        <w:rPr>
          <w:rFonts w:ascii="Book Antiqua" w:hAnsi="Book Antiqua"/>
        </w:rPr>
      </w:pPr>
      <w:r>
        <w:rPr>
          <w:rFonts w:ascii="Book Antiqua" w:hAnsi="Book Antiqua"/>
        </w:rPr>
        <w:t>Washington Society of Investment Analysts</w:t>
      </w:r>
    </w:p>
    <w:p w:rsidR="004169FB" w:rsidRDefault="004169FB" w:rsidP="004169FB">
      <w:pPr>
        <w:pStyle w:val="T3"/>
      </w:pPr>
    </w:p>
    <w:p w:rsidR="008D04CB" w:rsidRDefault="008D04CB">
      <w:pPr>
        <w:rPr>
          <w:sz w:val="32"/>
        </w:rPr>
      </w:pPr>
    </w:p>
    <w:sectPr w:rsidR="008D04CB" w:rsidSect="009B4F05">
      <w:headerReference w:type="default" r:id="rId21"/>
      <w:footerReference w:type="default" r:id="rId22"/>
      <w:footnotePr>
        <w:numRestart w:val="eachSect"/>
      </w:footnotePr>
      <w:pgSz w:w="12240" w:h="15840"/>
      <w:pgMar w:top="1440" w:right="1800" w:bottom="1440" w:left="1800"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5F" w:rsidRDefault="0066035F">
      <w:r>
        <w:separator/>
      </w:r>
    </w:p>
  </w:endnote>
  <w:endnote w:type="continuationSeparator" w:id="0">
    <w:p w:rsidR="0066035F" w:rsidRDefault="0066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05" w:rsidRDefault="003D42CA">
    <w:pPr>
      <w:pStyle w:val="Footer"/>
      <w:rPr>
        <w:color w:val="000000" w:themeColor="text1"/>
        <w:szCs w:val="24"/>
      </w:rPr>
    </w:pPr>
    <w:sdt>
      <w:sdtPr>
        <w:rPr>
          <w:color w:val="000000" w:themeColor="text1"/>
          <w:szCs w:val="24"/>
        </w:rPr>
        <w:alias w:val="Author"/>
        <w:id w:val="54214575"/>
        <w:placeholder>
          <w:docPart w:val="872DDEF7C0684C718F2B6527A690243C"/>
        </w:placeholder>
        <w:dataBinding w:prefixMappings="xmlns:ns0='http://schemas.openxmlformats.org/package/2006/metadata/core-properties' xmlns:ns1='http://purl.org/dc/elements/1.1/'" w:xpath="/ns0:coreProperties[1]/ns1:creator[1]" w:storeItemID="{6C3C8BC8-F283-45AE-878A-BAB7291924A1}"/>
        <w:text/>
      </w:sdtPr>
      <w:sdtEndPr/>
      <w:sdtContent>
        <w:r w:rsidR="009B4F05">
          <w:rPr>
            <w:color w:val="000000" w:themeColor="text1"/>
            <w:szCs w:val="24"/>
          </w:rPr>
          <w:t>Beginning ESOP Valuation</w:t>
        </w:r>
      </w:sdtContent>
    </w:sdt>
  </w:p>
  <w:p w:rsidR="009B4F05" w:rsidRDefault="009B4F05">
    <w:pPr>
      <w:pStyle w:val="Footer"/>
    </w:pPr>
    <w:r>
      <w:rPr>
        <w:noProof/>
      </w:rPr>
      <mc:AlternateContent>
        <mc:Choice Requires="wps">
          <w:drawing>
            <wp:anchor distT="0" distB="0" distL="114300" distR="114300" simplePos="0" relativeHeight="251659264" behindDoc="0" locked="0" layoutInCell="1" allowOverlap="1" wp14:anchorId="5DC6320E" wp14:editId="177B35C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3D42CA">
                            <w:rPr>
                              <w:rFonts w:asciiTheme="majorHAnsi" w:hAnsiTheme="majorHAnsi"/>
                              <w:noProof/>
                              <w:color w:val="000000" w:themeColor="text1"/>
                              <w:sz w:val="28"/>
                              <w:szCs w:val="28"/>
                            </w:rPr>
                            <w:t>5</w:t>
                          </w:r>
                          <w:r w:rsidRPr="009B4F05">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B4F05" w:rsidRPr="009B4F05" w:rsidRDefault="009B4F05">
                    <w:pPr>
                      <w:pStyle w:val="Footer"/>
                      <w:jc w:val="right"/>
                      <w:rPr>
                        <w:rFonts w:asciiTheme="majorHAnsi" w:hAnsiTheme="majorHAnsi"/>
                        <w:color w:val="000000" w:themeColor="text1"/>
                        <w:sz w:val="28"/>
                        <w:szCs w:val="28"/>
                      </w:rPr>
                    </w:pPr>
                    <w:r w:rsidRPr="009B4F05">
                      <w:rPr>
                        <w:rFonts w:asciiTheme="majorHAnsi" w:hAnsiTheme="majorHAnsi"/>
                        <w:color w:val="000000" w:themeColor="text1"/>
                        <w:sz w:val="28"/>
                        <w:szCs w:val="28"/>
                      </w:rPr>
                      <w:fldChar w:fldCharType="begin"/>
                    </w:r>
                    <w:r w:rsidRPr="009B4F05">
                      <w:rPr>
                        <w:rFonts w:asciiTheme="majorHAnsi" w:hAnsiTheme="majorHAnsi"/>
                        <w:color w:val="000000" w:themeColor="text1"/>
                        <w:sz w:val="28"/>
                        <w:szCs w:val="28"/>
                      </w:rPr>
                      <w:instrText xml:space="preserve"> PAGE  \* Arabic  \* MERGEFORMAT </w:instrText>
                    </w:r>
                    <w:r w:rsidRPr="009B4F05">
                      <w:rPr>
                        <w:rFonts w:asciiTheme="majorHAnsi" w:hAnsiTheme="majorHAnsi"/>
                        <w:color w:val="000000" w:themeColor="text1"/>
                        <w:sz w:val="28"/>
                        <w:szCs w:val="28"/>
                      </w:rPr>
                      <w:fldChar w:fldCharType="separate"/>
                    </w:r>
                    <w:r w:rsidR="003D42CA">
                      <w:rPr>
                        <w:rFonts w:asciiTheme="majorHAnsi" w:hAnsiTheme="majorHAnsi"/>
                        <w:noProof/>
                        <w:color w:val="000000" w:themeColor="text1"/>
                        <w:sz w:val="28"/>
                        <w:szCs w:val="28"/>
                      </w:rPr>
                      <w:t>5</w:t>
                    </w:r>
                    <w:r w:rsidRPr="009B4F05">
                      <w:rPr>
                        <w:rFonts w:asciiTheme="majorHAnsi" w:hAnsiTheme="majorHAnsi"/>
                        <w:color w:val="000000" w:themeColor="text1"/>
                        <w:sz w:val="28"/>
                        <w:szCs w:val="28"/>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6CCBD6D5" wp14:editId="62FD8FA7">
              <wp:simplePos x="0" y="0"/>
              <wp:positionH relativeFrom="margin">
                <wp:align>center</wp:align>
              </wp:positionH>
              <wp:positionV relativeFrom="bottomMargin">
                <wp:align>top</wp:align>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" fillcolor="#002060"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5F" w:rsidRDefault="0066035F">
      <w:r>
        <w:separator/>
      </w:r>
    </w:p>
  </w:footnote>
  <w:footnote w:type="continuationSeparator" w:id="0">
    <w:p w:rsidR="0066035F" w:rsidRDefault="0066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B5" w:rsidRDefault="00FF15B5">
    <w:pPr>
      <w:pStyle w:val="top2"/>
      <w:pBdr>
        <w:bottom w:val="none" w:sz="0" w:space="0" w:color="auto"/>
        <w:between w:val="none" w:sz="0" w:space="0" w:color="auto"/>
      </w:pBdr>
      <w:spacing w:line="240" w:lineRule="auto"/>
      <w:ind w:left="-1080" w:right="-1080"/>
      <w:rPr>
        <w:rFonts w:ascii="Courier" w:hAnsi="Couri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699D0"/>
    <w:lvl w:ilvl="0">
      <w:start w:val="1"/>
      <w:numFmt w:val="decimal"/>
      <w:lvlText w:val="%1."/>
      <w:lvlJc w:val="left"/>
      <w:pPr>
        <w:tabs>
          <w:tab w:val="num" w:pos="1800"/>
        </w:tabs>
        <w:ind w:left="1800" w:hanging="360"/>
      </w:pPr>
    </w:lvl>
  </w:abstractNum>
  <w:abstractNum w:abstractNumId="1">
    <w:nsid w:val="FFFFFF7D"/>
    <w:multiLevelType w:val="singleLevel"/>
    <w:tmpl w:val="67DE4E76"/>
    <w:lvl w:ilvl="0">
      <w:start w:val="1"/>
      <w:numFmt w:val="decimal"/>
      <w:lvlText w:val="%1."/>
      <w:lvlJc w:val="left"/>
      <w:pPr>
        <w:tabs>
          <w:tab w:val="num" w:pos="1440"/>
        </w:tabs>
        <w:ind w:left="1440" w:hanging="360"/>
      </w:pPr>
    </w:lvl>
  </w:abstractNum>
  <w:abstractNum w:abstractNumId="2">
    <w:nsid w:val="FFFFFF7E"/>
    <w:multiLevelType w:val="singleLevel"/>
    <w:tmpl w:val="F282009A"/>
    <w:lvl w:ilvl="0">
      <w:start w:val="1"/>
      <w:numFmt w:val="decimal"/>
      <w:lvlText w:val="%1."/>
      <w:lvlJc w:val="left"/>
      <w:pPr>
        <w:tabs>
          <w:tab w:val="num" w:pos="1080"/>
        </w:tabs>
        <w:ind w:left="1080" w:hanging="360"/>
      </w:pPr>
    </w:lvl>
  </w:abstractNum>
  <w:abstractNum w:abstractNumId="3">
    <w:nsid w:val="FFFFFF7F"/>
    <w:multiLevelType w:val="singleLevel"/>
    <w:tmpl w:val="B4F6D3E0"/>
    <w:lvl w:ilvl="0">
      <w:start w:val="1"/>
      <w:numFmt w:val="decimal"/>
      <w:lvlText w:val="%1."/>
      <w:lvlJc w:val="left"/>
      <w:pPr>
        <w:tabs>
          <w:tab w:val="num" w:pos="720"/>
        </w:tabs>
        <w:ind w:left="720" w:hanging="360"/>
      </w:pPr>
    </w:lvl>
  </w:abstractNum>
  <w:abstractNum w:abstractNumId="4">
    <w:nsid w:val="FFFFFF80"/>
    <w:multiLevelType w:val="singleLevel"/>
    <w:tmpl w:val="CCE4E7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3C46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6DF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CACA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C8BE86"/>
    <w:lvl w:ilvl="0">
      <w:start w:val="1"/>
      <w:numFmt w:val="decimal"/>
      <w:lvlText w:val="%1."/>
      <w:lvlJc w:val="left"/>
      <w:pPr>
        <w:tabs>
          <w:tab w:val="num" w:pos="360"/>
        </w:tabs>
        <w:ind w:left="360" w:hanging="360"/>
      </w:pPr>
    </w:lvl>
  </w:abstractNum>
  <w:abstractNum w:abstractNumId="9">
    <w:nsid w:val="FFFFFF89"/>
    <w:multiLevelType w:val="singleLevel"/>
    <w:tmpl w:val="A5E847F0"/>
    <w:lvl w:ilvl="0">
      <w:start w:val="1"/>
      <w:numFmt w:val="bullet"/>
      <w:lvlText w:val=""/>
      <w:lvlJc w:val="left"/>
      <w:pPr>
        <w:tabs>
          <w:tab w:val="num" w:pos="360"/>
        </w:tabs>
        <w:ind w:left="360" w:hanging="360"/>
      </w:pPr>
      <w:rPr>
        <w:rFonts w:ascii="Symbol" w:hAnsi="Symbol" w:hint="default"/>
      </w:rPr>
    </w:lvl>
  </w:abstractNum>
  <w:abstractNum w:abstractNumId="10">
    <w:nsid w:val="12697291"/>
    <w:multiLevelType w:val="hybridMultilevel"/>
    <w:tmpl w:val="C60C4894"/>
    <w:lvl w:ilvl="0" w:tplc="04090001">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A47F6"/>
    <w:multiLevelType w:val="hybridMultilevel"/>
    <w:tmpl w:val="E7E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E46E3"/>
    <w:multiLevelType w:val="hybridMultilevel"/>
    <w:tmpl w:val="28E89B5A"/>
    <w:lvl w:ilvl="0" w:tplc="2DB02580">
      <w:start w:val="1"/>
      <w:numFmt w:val="decimal"/>
      <w:lvlText w:val="%1."/>
      <w:lvlJc w:val="left"/>
      <w:pPr>
        <w:tabs>
          <w:tab w:val="num" w:pos="1728"/>
        </w:tabs>
        <w:ind w:left="1728" w:hanging="576"/>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3">
    <w:nsid w:val="2FC41F78"/>
    <w:multiLevelType w:val="hybridMultilevel"/>
    <w:tmpl w:val="C7221DCE"/>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A5952"/>
    <w:multiLevelType w:val="hybridMultilevel"/>
    <w:tmpl w:val="F5B84590"/>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47438"/>
    <w:multiLevelType w:val="hybridMultilevel"/>
    <w:tmpl w:val="994C9C62"/>
    <w:lvl w:ilvl="0" w:tplc="F522C62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nsid w:val="58410665"/>
    <w:multiLevelType w:val="hybridMultilevel"/>
    <w:tmpl w:val="08028DC8"/>
    <w:lvl w:ilvl="0" w:tplc="04090001">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1848"/>
    <w:multiLevelType w:val="hybridMultilevel"/>
    <w:tmpl w:val="812020F8"/>
    <w:lvl w:ilvl="0" w:tplc="F80EC24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B3682"/>
    <w:multiLevelType w:val="hybridMultilevel"/>
    <w:tmpl w:val="CE041BB6"/>
    <w:lvl w:ilvl="0" w:tplc="68C24D7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5E5776B7"/>
    <w:multiLevelType w:val="hybridMultilevel"/>
    <w:tmpl w:val="5ABE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D2FED"/>
    <w:multiLevelType w:val="hybridMultilevel"/>
    <w:tmpl w:val="E39A322C"/>
    <w:lvl w:ilvl="0" w:tplc="E87C8D22">
      <w:start w:val="4"/>
      <w:numFmt w:val="upperLetter"/>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1">
    <w:nsid w:val="7C5E798B"/>
    <w:multiLevelType w:val="hybridMultilevel"/>
    <w:tmpl w:val="49D28A2C"/>
    <w:lvl w:ilvl="0" w:tplc="C3EE069C">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77D1D"/>
    <w:multiLevelType w:val="hybridMultilevel"/>
    <w:tmpl w:val="C4EAFA9C"/>
    <w:lvl w:ilvl="0" w:tplc="60180436">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0"/>
  </w:num>
  <w:num w:numId="13">
    <w:abstractNumId w:val="12"/>
  </w:num>
  <w:num w:numId="14">
    <w:abstractNumId w:val="11"/>
  </w:num>
  <w:num w:numId="15">
    <w:abstractNumId w:val="18"/>
  </w:num>
  <w:num w:numId="16">
    <w:abstractNumId w:val="13"/>
  </w:num>
  <w:num w:numId="17">
    <w:abstractNumId w:val="17"/>
  </w:num>
  <w:num w:numId="18">
    <w:abstractNumId w:val="15"/>
  </w:num>
  <w:num w:numId="19">
    <w:abstractNumId w:val="21"/>
  </w:num>
  <w:num w:numId="20">
    <w:abstractNumId w:val="10"/>
  </w:num>
  <w:num w:numId="21">
    <w:abstractNumId w:val="1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CB"/>
    <w:rsid w:val="00000935"/>
    <w:rsid w:val="00012BFA"/>
    <w:rsid w:val="00025C9B"/>
    <w:rsid w:val="00026560"/>
    <w:rsid w:val="000C2E78"/>
    <w:rsid w:val="000C34A7"/>
    <w:rsid w:val="000D140C"/>
    <w:rsid w:val="000E58F3"/>
    <w:rsid w:val="000F1E45"/>
    <w:rsid w:val="0010044E"/>
    <w:rsid w:val="001125B6"/>
    <w:rsid w:val="00113CB1"/>
    <w:rsid w:val="00151E26"/>
    <w:rsid w:val="001A652E"/>
    <w:rsid w:val="00224E51"/>
    <w:rsid w:val="002B4FB4"/>
    <w:rsid w:val="002C2157"/>
    <w:rsid w:val="002C3C88"/>
    <w:rsid w:val="002D584A"/>
    <w:rsid w:val="00302B19"/>
    <w:rsid w:val="00311BA0"/>
    <w:rsid w:val="00312E26"/>
    <w:rsid w:val="00327A40"/>
    <w:rsid w:val="00332394"/>
    <w:rsid w:val="003471D4"/>
    <w:rsid w:val="003D42CA"/>
    <w:rsid w:val="003E456A"/>
    <w:rsid w:val="00401A93"/>
    <w:rsid w:val="004169FB"/>
    <w:rsid w:val="00477AF4"/>
    <w:rsid w:val="004D0394"/>
    <w:rsid w:val="0051560D"/>
    <w:rsid w:val="005166B5"/>
    <w:rsid w:val="00537B2B"/>
    <w:rsid w:val="005812FB"/>
    <w:rsid w:val="005822F3"/>
    <w:rsid w:val="005B144C"/>
    <w:rsid w:val="005B3190"/>
    <w:rsid w:val="005D2C53"/>
    <w:rsid w:val="00600942"/>
    <w:rsid w:val="0063204D"/>
    <w:rsid w:val="00645AA9"/>
    <w:rsid w:val="0066035F"/>
    <w:rsid w:val="00663C8E"/>
    <w:rsid w:val="00672FEA"/>
    <w:rsid w:val="006B5AFA"/>
    <w:rsid w:val="006B6E3B"/>
    <w:rsid w:val="006C37CB"/>
    <w:rsid w:val="00700568"/>
    <w:rsid w:val="00701DA2"/>
    <w:rsid w:val="00706106"/>
    <w:rsid w:val="00721191"/>
    <w:rsid w:val="0072526B"/>
    <w:rsid w:val="0073091D"/>
    <w:rsid w:val="00733F4F"/>
    <w:rsid w:val="00750C79"/>
    <w:rsid w:val="0077029E"/>
    <w:rsid w:val="0078040D"/>
    <w:rsid w:val="007A4A0E"/>
    <w:rsid w:val="0080196C"/>
    <w:rsid w:val="00802E88"/>
    <w:rsid w:val="00814F16"/>
    <w:rsid w:val="008318D7"/>
    <w:rsid w:val="00851454"/>
    <w:rsid w:val="00852BC8"/>
    <w:rsid w:val="00874C9D"/>
    <w:rsid w:val="008B5864"/>
    <w:rsid w:val="008D04CB"/>
    <w:rsid w:val="009041B4"/>
    <w:rsid w:val="00924C81"/>
    <w:rsid w:val="009256B0"/>
    <w:rsid w:val="00950869"/>
    <w:rsid w:val="0097023E"/>
    <w:rsid w:val="00975CFB"/>
    <w:rsid w:val="00985F45"/>
    <w:rsid w:val="00993357"/>
    <w:rsid w:val="00995863"/>
    <w:rsid w:val="009B4F05"/>
    <w:rsid w:val="009F1C17"/>
    <w:rsid w:val="00A13882"/>
    <w:rsid w:val="00A17F2F"/>
    <w:rsid w:val="00A35A65"/>
    <w:rsid w:val="00A41CBA"/>
    <w:rsid w:val="00A44542"/>
    <w:rsid w:val="00A61DFB"/>
    <w:rsid w:val="00A66CB2"/>
    <w:rsid w:val="00A73E37"/>
    <w:rsid w:val="00AA2226"/>
    <w:rsid w:val="00B30F46"/>
    <w:rsid w:val="00B33CBC"/>
    <w:rsid w:val="00B52F8F"/>
    <w:rsid w:val="00B94519"/>
    <w:rsid w:val="00BB502F"/>
    <w:rsid w:val="00BD7FE6"/>
    <w:rsid w:val="00C024F5"/>
    <w:rsid w:val="00C03F5E"/>
    <w:rsid w:val="00C81EDB"/>
    <w:rsid w:val="00C8499B"/>
    <w:rsid w:val="00CE70F4"/>
    <w:rsid w:val="00CF24BE"/>
    <w:rsid w:val="00D10363"/>
    <w:rsid w:val="00DB6914"/>
    <w:rsid w:val="00DC22DF"/>
    <w:rsid w:val="00DE34DB"/>
    <w:rsid w:val="00DE5483"/>
    <w:rsid w:val="00E15955"/>
    <w:rsid w:val="00E17A93"/>
    <w:rsid w:val="00E30237"/>
    <w:rsid w:val="00E45A3B"/>
    <w:rsid w:val="00E63BDE"/>
    <w:rsid w:val="00EB6F0A"/>
    <w:rsid w:val="00EC0CDE"/>
    <w:rsid w:val="00EE3FFB"/>
    <w:rsid w:val="00EF164B"/>
    <w:rsid w:val="00F01CF9"/>
    <w:rsid w:val="00F11499"/>
    <w:rsid w:val="00F11B64"/>
    <w:rsid w:val="00F54769"/>
    <w:rsid w:val="00F944C1"/>
    <w:rsid w:val="00FB3C2D"/>
    <w:rsid w:val="00FC107E"/>
    <w:rsid w:val="00FC3FA7"/>
    <w:rsid w:val="00FE0144"/>
    <w:rsid w:val="00F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tLeast"/>
      <w:jc w:val="both"/>
    </w:pPr>
    <w:rPr>
      <w:rFonts w:ascii="Times New Roman" w:hAnsi="Times New Roman"/>
      <w:sz w:val="24"/>
    </w:rPr>
  </w:style>
  <w:style w:type="paragraph" w:styleId="Heading1">
    <w:name w:val="heading 1"/>
    <w:aliases w:val="Heading B"/>
    <w:qFormat/>
    <w:rsid w:val="00FE0144"/>
    <w:pPr>
      <w:keepNext/>
      <w:spacing w:line="240" w:lineRule="atLeast"/>
      <w:outlineLvl w:val="0"/>
    </w:pPr>
    <w:rPr>
      <w:rFonts w:ascii="Times New Roman" w:hAnsi="Times New Roman"/>
      <w:b/>
      <w:sz w:val="24"/>
    </w:rPr>
  </w:style>
  <w:style w:type="paragraph" w:styleId="Heading2">
    <w:name w:val="heading 2"/>
    <w:qFormat/>
    <w:pPr>
      <w:keepNext/>
      <w:pBdr>
        <w:top w:val="single" w:sz="6" w:space="1" w:color="auto"/>
        <w:left w:val="single" w:sz="6" w:space="1" w:color="auto"/>
        <w:bottom w:val="single" w:sz="6" w:space="1" w:color="auto"/>
        <w:right w:val="single" w:sz="6" w:space="1" w:color="auto"/>
      </w:pBdr>
      <w:spacing w:line="240" w:lineRule="atLeast"/>
      <w:jc w:val="center"/>
      <w:outlineLvl w:val="1"/>
    </w:pPr>
    <w:rPr>
      <w:rFonts w:ascii="Times New Roman" w:hAnsi="Times New Roman"/>
      <w:b/>
      <w:sz w:val="24"/>
    </w:rPr>
  </w:style>
  <w:style w:type="paragraph" w:styleId="Heading3">
    <w:name w:val="heading 3"/>
    <w:qFormat/>
    <w:pPr>
      <w:keepNext/>
      <w:spacing w:line="240" w:lineRule="atLeast"/>
      <w:jc w:val="center"/>
      <w:outlineLvl w:val="2"/>
    </w:pPr>
    <w:rPr>
      <w:rFonts w:ascii="Times New Roman" w:hAnsi="Times New Roman"/>
      <w:b/>
      <w:sz w:val="24"/>
      <w:u w:val="single"/>
    </w:rPr>
  </w:style>
  <w:style w:type="paragraph" w:styleId="Heading4">
    <w:name w:val="heading 4"/>
    <w:qFormat/>
    <w:pPr>
      <w:keepNext/>
      <w:spacing w:line="240" w:lineRule="atLeast"/>
      <w:jc w:val="center"/>
      <w:outlineLvl w:val="3"/>
    </w:pPr>
    <w:rPr>
      <w:rFonts w:ascii="Times New Roman" w:hAnsi="Times New Roman"/>
      <w:b/>
      <w:i/>
      <w:sz w:val="24"/>
      <w:u w:val="single"/>
    </w:rPr>
  </w:style>
  <w:style w:type="paragraph" w:styleId="Heading5">
    <w:name w:val="heading 5"/>
    <w:qFormat/>
    <w:pPr>
      <w:keepNext/>
      <w:spacing w:line="240" w:lineRule="atLeast"/>
      <w:jc w:val="both"/>
      <w:outlineLvl w:val="4"/>
    </w:pPr>
    <w:rPr>
      <w:rFonts w:ascii="Times New Roman" w:hAnsi="Times New Roman"/>
      <w:b/>
      <w:sz w:val="24"/>
      <w:u w:val="single"/>
    </w:rPr>
  </w:style>
  <w:style w:type="paragraph" w:styleId="Heading6">
    <w:name w:val="heading 6"/>
    <w:qFormat/>
    <w:pPr>
      <w:keepNext/>
      <w:spacing w:line="480" w:lineRule="atLeast"/>
      <w:outlineLvl w:val="5"/>
    </w:pPr>
    <w:rPr>
      <w:rFonts w:ascii="Times New Roman" w:hAnsi="Times New Roman"/>
      <w:b/>
      <w:sz w:val="24"/>
    </w:rPr>
  </w:style>
  <w:style w:type="paragraph" w:styleId="Heading7">
    <w:name w:val="heading 7"/>
    <w:qFormat/>
    <w:pPr>
      <w:keepNext/>
      <w:spacing w:line="480" w:lineRule="atLeast"/>
      <w:outlineLvl w:val="6"/>
    </w:pPr>
    <w:rPr>
      <w:rFonts w:ascii="CG Times" w:hAnsi="CG Times"/>
      <w:sz w:val="24"/>
      <w:u w:val="single"/>
    </w:rPr>
  </w:style>
  <w:style w:type="paragraph" w:styleId="Heading8">
    <w:name w:val="heading 8"/>
    <w:basedOn w:val="Normal"/>
    <w:next w:val="NormalIndent"/>
    <w:qFormat/>
    <w:pPr>
      <w:ind w:left="720"/>
      <w:outlineLvl w:val="7"/>
    </w:pPr>
    <w:rPr>
      <w:rFonts w:ascii="Times" w:hAnsi="Times"/>
      <w:i/>
      <w:iCs/>
      <w:sz w:val="20"/>
    </w:rPr>
  </w:style>
  <w:style w:type="paragraph" w:styleId="Heading9">
    <w:name w:val="heading 9"/>
    <w:basedOn w:val="Normal"/>
    <w:next w:val="NormalIndent"/>
    <w:qFormat/>
    <w:pPr>
      <w:ind w:left="720"/>
      <w:outlineLvl w:val="8"/>
    </w:pPr>
    <w:rPr>
      <w:rFonts w:ascii="Times" w:hAnsi="Time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4">
    <w:name w:val="toc 4"/>
    <w:semiHidden/>
    <w:pPr>
      <w:tabs>
        <w:tab w:val="right" w:leader="dot" w:pos="8496"/>
      </w:tabs>
      <w:spacing w:line="240" w:lineRule="atLeast"/>
      <w:ind w:left="1728"/>
    </w:pPr>
    <w:rPr>
      <w:rFonts w:ascii="Arial" w:hAnsi="Arial"/>
      <w:sz w:val="24"/>
    </w:rPr>
  </w:style>
  <w:style w:type="paragraph" w:styleId="TOC3">
    <w:name w:val="toc 3"/>
    <w:semiHidden/>
    <w:pPr>
      <w:tabs>
        <w:tab w:val="right" w:leader="dot" w:pos="8496"/>
      </w:tabs>
      <w:spacing w:line="240" w:lineRule="atLeast"/>
      <w:ind w:left="1152"/>
    </w:pPr>
    <w:rPr>
      <w:rFonts w:ascii="Arial" w:hAnsi="Arial"/>
      <w:sz w:val="24"/>
    </w:rPr>
  </w:style>
  <w:style w:type="paragraph" w:styleId="TOC2">
    <w:name w:val="toc 2"/>
    <w:semiHidden/>
    <w:pPr>
      <w:tabs>
        <w:tab w:val="right" w:leader="dot" w:pos="8496"/>
      </w:tabs>
      <w:spacing w:line="240" w:lineRule="atLeast"/>
      <w:ind w:left="576"/>
    </w:pPr>
    <w:rPr>
      <w:rFonts w:ascii="Arial" w:hAnsi="Arial"/>
      <w:sz w:val="24"/>
    </w:rPr>
  </w:style>
  <w:style w:type="paragraph" w:styleId="TOC1">
    <w:name w:val="toc 1"/>
    <w:semiHidden/>
    <w:pPr>
      <w:tabs>
        <w:tab w:val="right" w:leader="dot" w:pos="8496"/>
      </w:tabs>
      <w:spacing w:line="480" w:lineRule="atLeast"/>
    </w:pPr>
    <w:rPr>
      <w:rFonts w:ascii="Arial" w:hAnsi="Arial"/>
      <w:sz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semiHidden/>
    <w:pPr>
      <w:spacing w:before="96"/>
      <w:jc w:val="both"/>
    </w:pPr>
    <w:rPr>
      <w:rFonts w:ascii="CG Times" w:hAnsi="CG Times"/>
      <w:sz w:val="16"/>
    </w:rPr>
  </w:style>
  <w:style w:type="paragraph" w:customStyle="1" w:styleId="OA">
    <w:name w:val="OA"/>
    <w:pPr>
      <w:tabs>
        <w:tab w:val="left" w:pos="576"/>
      </w:tabs>
      <w:ind w:left="576" w:right="576" w:hanging="576"/>
      <w:jc w:val="both"/>
    </w:pPr>
    <w:rPr>
      <w:rFonts w:ascii="CG Times" w:hAnsi="CG Times"/>
    </w:rPr>
  </w:style>
  <w:style w:type="paragraph" w:customStyle="1" w:styleId="OB">
    <w:name w:val="OB"/>
    <w:pPr>
      <w:tabs>
        <w:tab w:val="left" w:pos="576"/>
        <w:tab w:val="left" w:pos="1152"/>
      </w:tabs>
      <w:ind w:left="1152" w:right="576" w:hanging="1152"/>
      <w:jc w:val="both"/>
    </w:pPr>
    <w:rPr>
      <w:rFonts w:ascii="Times New Roman" w:hAnsi="Times New Roman"/>
    </w:rPr>
  </w:style>
  <w:style w:type="paragraph" w:customStyle="1" w:styleId="OC">
    <w:name w:val="OC"/>
    <w:pPr>
      <w:tabs>
        <w:tab w:val="left" w:pos="1152"/>
        <w:tab w:val="left" w:pos="1728"/>
      </w:tabs>
      <w:ind w:left="1728" w:right="576" w:hanging="1728"/>
      <w:jc w:val="both"/>
    </w:pPr>
    <w:rPr>
      <w:rFonts w:ascii="Times New Roman" w:hAnsi="Times New Roman"/>
    </w:rPr>
  </w:style>
  <w:style w:type="paragraph" w:customStyle="1" w:styleId="OD">
    <w:name w:val="OD"/>
    <w:pPr>
      <w:tabs>
        <w:tab w:val="left" w:pos="1728"/>
        <w:tab w:val="left" w:pos="2304"/>
      </w:tabs>
      <w:ind w:left="2304" w:right="576" w:hanging="2304"/>
      <w:jc w:val="both"/>
    </w:pPr>
    <w:rPr>
      <w:rFonts w:ascii="Times New Roman" w:hAnsi="Times New Roman"/>
    </w:rPr>
  </w:style>
  <w:style w:type="paragraph" w:customStyle="1" w:styleId="T3">
    <w:name w:val="T3"/>
    <w:pPr>
      <w:spacing w:line="240" w:lineRule="atLeast"/>
      <w:jc w:val="both"/>
    </w:pPr>
    <w:rPr>
      <w:rFonts w:ascii="Times New Roman" w:hAnsi="Times New Roman"/>
      <w:sz w:val="24"/>
    </w:rPr>
  </w:style>
  <w:style w:type="paragraph" w:customStyle="1" w:styleId="T4">
    <w:name w:val="T4"/>
    <w:pPr>
      <w:spacing w:line="240" w:lineRule="atLeast"/>
      <w:ind w:firstLine="1440"/>
      <w:jc w:val="both"/>
    </w:pPr>
    <w:rPr>
      <w:rFonts w:ascii="Times New Roman" w:hAnsi="Times New Roman"/>
      <w:sz w:val="24"/>
    </w:rPr>
  </w:style>
  <w:style w:type="paragraph" w:customStyle="1" w:styleId="T5">
    <w:name w:val="T5"/>
    <w:pPr>
      <w:tabs>
        <w:tab w:val="left" w:pos="3024"/>
      </w:tabs>
      <w:spacing w:line="240" w:lineRule="atLeast"/>
    </w:pPr>
    <w:rPr>
      <w:rFonts w:ascii="CG Times" w:hAnsi="CG Times"/>
      <w:sz w:val="24"/>
    </w:rPr>
  </w:style>
  <w:style w:type="paragraph" w:customStyle="1" w:styleId="T6">
    <w:name w:val="T6"/>
    <w:pPr>
      <w:ind w:left="576" w:right="576"/>
      <w:jc w:val="both"/>
    </w:pPr>
    <w:rPr>
      <w:rFonts w:ascii="CG Times" w:hAnsi="CG Times"/>
    </w:rPr>
  </w:style>
  <w:style w:type="paragraph" w:customStyle="1" w:styleId="T7">
    <w:name w:val="T7"/>
    <w:pPr>
      <w:spacing w:line="240" w:lineRule="atLeast"/>
      <w:ind w:left="5040"/>
    </w:pPr>
    <w:rPr>
      <w:rFonts w:ascii="CG Times" w:hAnsi="CG Times"/>
      <w:sz w:val="24"/>
    </w:rPr>
  </w:style>
  <w:style w:type="paragraph" w:customStyle="1" w:styleId="CT">
    <w:name w:val="CT"/>
    <w:pPr>
      <w:spacing w:line="480" w:lineRule="atLeast"/>
      <w:jc w:val="center"/>
    </w:pPr>
    <w:rPr>
      <w:rFonts w:ascii="Times New Roman" w:hAnsi="Times New Roman"/>
      <w:b/>
      <w:sz w:val="48"/>
    </w:rPr>
  </w:style>
  <w:style w:type="paragraph" w:customStyle="1" w:styleId="CF">
    <w:name w:val="CF"/>
    <w:pPr>
      <w:spacing w:line="480" w:lineRule="atLeast"/>
      <w:jc w:val="center"/>
    </w:pPr>
    <w:rPr>
      <w:rFonts w:ascii="Times New Roman" w:hAnsi="Times New Roman"/>
      <w:sz w:val="36"/>
    </w:rPr>
  </w:style>
  <w:style w:type="paragraph" w:customStyle="1" w:styleId="OM">
    <w:name w:val="OM"/>
    <w:pPr>
      <w:tabs>
        <w:tab w:val="left" w:pos="576"/>
      </w:tabs>
      <w:ind w:left="576" w:hanging="576"/>
      <w:jc w:val="both"/>
    </w:pPr>
    <w:rPr>
      <w:rFonts w:ascii="Times New Roman" w:hAnsi="Times New Roman"/>
      <w:sz w:val="24"/>
    </w:rPr>
  </w:style>
  <w:style w:type="paragraph" w:customStyle="1" w:styleId="ON">
    <w:name w:val="ON"/>
    <w:pPr>
      <w:tabs>
        <w:tab w:val="left" w:pos="576"/>
        <w:tab w:val="left" w:pos="1152"/>
      </w:tabs>
      <w:ind w:left="1152" w:hanging="1152"/>
      <w:jc w:val="both"/>
    </w:pPr>
    <w:rPr>
      <w:rFonts w:ascii="Times New Roman" w:hAnsi="Times New Roman"/>
      <w:sz w:val="24"/>
    </w:rPr>
  </w:style>
  <w:style w:type="paragraph" w:customStyle="1" w:styleId="OO">
    <w:name w:val="OO"/>
    <w:pPr>
      <w:tabs>
        <w:tab w:val="left" w:pos="1152"/>
        <w:tab w:val="left" w:pos="1728"/>
      </w:tabs>
      <w:ind w:left="1728" w:hanging="1728"/>
      <w:jc w:val="both"/>
    </w:pPr>
    <w:rPr>
      <w:rFonts w:ascii="Times New Roman" w:hAnsi="Times New Roman"/>
      <w:sz w:val="24"/>
    </w:rPr>
  </w:style>
  <w:style w:type="paragraph" w:customStyle="1" w:styleId="OP">
    <w:name w:val="OP"/>
    <w:pPr>
      <w:tabs>
        <w:tab w:val="left" w:pos="1728"/>
        <w:tab w:val="left" w:pos="2304"/>
      </w:tabs>
      <w:ind w:left="2304" w:hanging="2304"/>
      <w:jc w:val="both"/>
    </w:pPr>
    <w:rPr>
      <w:rFonts w:ascii="Times New Roman" w:hAnsi="Times New Roman"/>
      <w:sz w:val="24"/>
    </w:rPr>
  </w:style>
  <w:style w:type="paragraph" w:customStyle="1" w:styleId="OQ">
    <w:name w:val="OQ"/>
    <w:pPr>
      <w:tabs>
        <w:tab w:val="left" w:pos="2304"/>
        <w:tab w:val="left" w:pos="2880"/>
      </w:tabs>
      <w:ind w:left="2880" w:hanging="2880"/>
      <w:jc w:val="both"/>
    </w:pPr>
    <w:rPr>
      <w:rFonts w:ascii="Times New Roman" w:hAnsi="Times New Roman"/>
      <w:sz w:val="24"/>
    </w:rPr>
  </w:style>
  <w:style w:type="paragraph" w:customStyle="1" w:styleId="TX">
    <w:name w:val="TX"/>
    <w:pPr>
      <w:pBdr>
        <w:top w:val="double" w:sz="6" w:space="0" w:color="auto"/>
        <w:left w:val="double" w:sz="6" w:space="0" w:color="auto"/>
        <w:bottom w:val="double" w:sz="6" w:space="0" w:color="auto"/>
        <w:right w:val="double" w:sz="6" w:space="0" w:color="auto"/>
      </w:pBdr>
      <w:spacing w:before="240" w:after="240"/>
      <w:ind w:left="720" w:right="720"/>
      <w:jc w:val="center"/>
    </w:pPr>
    <w:rPr>
      <w:rFonts w:ascii="Arial" w:hAnsi="Arial"/>
      <w:b/>
      <w:sz w:val="24"/>
    </w:rPr>
  </w:style>
  <w:style w:type="paragraph" w:customStyle="1" w:styleId="OE">
    <w:name w:val="OE"/>
    <w:pPr>
      <w:tabs>
        <w:tab w:val="left" w:pos="2304"/>
        <w:tab w:val="left" w:pos="2880"/>
      </w:tabs>
      <w:ind w:left="2880" w:right="576" w:hanging="2880"/>
      <w:jc w:val="both"/>
    </w:pPr>
    <w:rPr>
      <w:rFonts w:ascii="Times New Roman" w:hAnsi="Times New Roman"/>
    </w:rPr>
  </w:style>
  <w:style w:type="paragraph" w:customStyle="1" w:styleId="exhibit">
    <w:name w:val="exhibit"/>
    <w:basedOn w:val="Normal"/>
    <w:pPr>
      <w:spacing w:line="300" w:lineRule="atLeast"/>
      <w:jc w:val="center"/>
    </w:pPr>
    <w:rPr>
      <w:rFonts w:ascii="Arial" w:hAnsi="Arial"/>
      <w:b/>
      <w:sz w:val="20"/>
    </w:rPr>
  </w:style>
  <w:style w:type="paragraph" w:customStyle="1" w:styleId="exh">
    <w:name w:val="exh"/>
    <w:basedOn w:val="Normal"/>
    <w:pPr>
      <w:spacing w:line="240" w:lineRule="auto"/>
    </w:pPr>
    <w:rPr>
      <w:rFonts w:ascii="Arial Narrow" w:hAnsi="Arial Narrow"/>
      <w:color w:val="000000"/>
      <w:sz w:val="14"/>
    </w:rPr>
  </w:style>
  <w:style w:type="paragraph" w:customStyle="1" w:styleId="1">
    <w:name w:val="1"/>
    <w:basedOn w:val="Normal"/>
    <w:pPr>
      <w:pBdr>
        <w:top w:val="double" w:sz="6" w:space="1" w:color="auto"/>
        <w:left w:val="double" w:sz="6" w:space="1" w:color="auto"/>
        <w:bottom w:val="double" w:sz="6" w:space="1" w:color="auto"/>
        <w:right w:val="double" w:sz="6" w:space="1" w:color="auto"/>
      </w:pBdr>
      <w:spacing w:before="480" w:after="480"/>
      <w:jc w:val="center"/>
    </w:pPr>
    <w:rPr>
      <w:b/>
    </w:rPr>
  </w:style>
  <w:style w:type="paragraph" w:customStyle="1" w:styleId="2">
    <w:name w:val="2"/>
    <w:basedOn w:val="Normal"/>
    <w:pPr>
      <w:pBdr>
        <w:top w:val="single" w:sz="6" w:space="1" w:color="auto"/>
        <w:left w:val="single" w:sz="6" w:space="1" w:color="auto"/>
        <w:bottom w:val="single" w:sz="6" w:space="1" w:color="auto"/>
        <w:right w:val="single" w:sz="6" w:space="1" w:color="auto"/>
      </w:pBdr>
      <w:jc w:val="center"/>
    </w:pPr>
    <w:rPr>
      <w:b/>
    </w:rPr>
  </w:style>
  <w:style w:type="paragraph" w:customStyle="1" w:styleId="FIX">
    <w:name w:val="FIX"/>
    <w:basedOn w:val="T3"/>
    <w:pPr>
      <w:spacing w:line="216" w:lineRule="exact"/>
    </w:pPr>
    <w:rPr>
      <w:rFonts w:ascii="RomanFix" w:hAnsi="RomanFix"/>
      <w:sz w:val="20"/>
    </w:rPr>
  </w:style>
  <w:style w:type="paragraph" w:customStyle="1" w:styleId="top1">
    <w:name w:val="top1"/>
    <w:basedOn w:val="Normal"/>
    <w:pPr>
      <w:tabs>
        <w:tab w:val="left" w:pos="0"/>
        <w:tab w:val="center" w:pos="4320"/>
        <w:tab w:val="right" w:pos="8640"/>
      </w:tabs>
      <w:spacing w:line="204" w:lineRule="exact"/>
      <w:ind w:left="-1800" w:right="-1800"/>
    </w:pPr>
    <w:rPr>
      <w:b/>
    </w:rPr>
  </w:style>
  <w:style w:type="paragraph" w:customStyle="1" w:styleId="top2">
    <w:name w:val="top2"/>
    <w:basedOn w:val="Normal"/>
    <w:pPr>
      <w:pBdr>
        <w:bottom w:val="double" w:sz="6" w:space="1" w:color="auto"/>
        <w:between w:val="double" w:sz="6" w:space="1" w:color="auto"/>
      </w:pBdr>
      <w:tabs>
        <w:tab w:val="left" w:pos="0"/>
        <w:tab w:val="center" w:pos="4320"/>
        <w:tab w:val="right" w:pos="8640"/>
      </w:tabs>
      <w:spacing w:line="240" w:lineRule="atLeast"/>
      <w:ind w:left="-1800" w:right="-1800"/>
    </w:pPr>
    <w:rPr>
      <w:sz w:val="14"/>
    </w:rPr>
  </w:style>
  <w:style w:type="paragraph" w:customStyle="1" w:styleId="DATA">
    <w:name w:val="DATA"/>
    <w:basedOn w:val="Normal"/>
    <w:pPr>
      <w:spacing w:line="204" w:lineRule="exact"/>
      <w:jc w:val="left"/>
    </w:pPr>
    <w:rPr>
      <w:rFonts w:ascii="classic" w:hAnsi="classic"/>
      <w:sz w:val="20"/>
    </w:rPr>
  </w:style>
  <w:style w:type="paragraph" w:customStyle="1" w:styleId="TOPX">
    <w:name w:val="TOPX"/>
    <w:basedOn w:val="top1"/>
    <w:pPr>
      <w:spacing w:line="202" w:lineRule="exact"/>
    </w:pPr>
  </w:style>
  <w:style w:type="paragraph" w:customStyle="1" w:styleId="outline1">
    <w:name w:val="outline 1"/>
    <w:pPr>
      <w:tabs>
        <w:tab w:val="left" w:pos="576"/>
      </w:tabs>
      <w:ind w:left="576" w:right="576" w:hanging="576"/>
      <w:jc w:val="both"/>
    </w:pPr>
    <w:rPr>
      <w:rFonts w:ascii="Times New Roman" w:hAnsi="Times New Roman"/>
    </w:rPr>
  </w:style>
  <w:style w:type="paragraph" w:customStyle="1" w:styleId="outline2">
    <w:name w:val="outline 2"/>
    <w:pPr>
      <w:tabs>
        <w:tab w:val="left" w:pos="576"/>
        <w:tab w:val="left" w:pos="1152"/>
      </w:tabs>
      <w:ind w:left="1152" w:right="576" w:hanging="1152"/>
      <w:jc w:val="both"/>
    </w:pPr>
    <w:rPr>
      <w:rFonts w:ascii="Times New Roman" w:hAnsi="Times New Roman"/>
    </w:rPr>
  </w:style>
  <w:style w:type="paragraph" w:customStyle="1" w:styleId="outline3">
    <w:name w:val="outline 3"/>
    <w:pPr>
      <w:tabs>
        <w:tab w:val="left" w:pos="1152"/>
        <w:tab w:val="left" w:pos="1728"/>
      </w:tabs>
      <w:ind w:left="1728" w:right="576" w:hanging="1728"/>
      <w:jc w:val="both"/>
    </w:pPr>
    <w:rPr>
      <w:rFonts w:ascii="Times New Roman" w:hAnsi="Times New Roman"/>
    </w:rPr>
  </w:style>
  <w:style w:type="paragraph" w:customStyle="1" w:styleId="outline4">
    <w:name w:val="outline 4"/>
    <w:pPr>
      <w:tabs>
        <w:tab w:val="left" w:pos="1728"/>
        <w:tab w:val="left" w:pos="2304"/>
      </w:tabs>
      <w:ind w:left="2304" w:right="576" w:hanging="2304"/>
      <w:jc w:val="both"/>
    </w:pPr>
    <w:rPr>
      <w:rFonts w:ascii="Times New Roman" w:hAnsi="Times New Roman"/>
    </w:rPr>
  </w:style>
  <w:style w:type="paragraph" w:customStyle="1" w:styleId="outline1nortind">
    <w:name w:val="outline 1 no rt ind"/>
    <w:pPr>
      <w:tabs>
        <w:tab w:val="left" w:pos="576"/>
      </w:tabs>
      <w:ind w:left="576" w:hanging="576"/>
      <w:jc w:val="both"/>
    </w:pPr>
    <w:rPr>
      <w:rFonts w:ascii="Times New Roman" w:hAnsi="Times New Roman"/>
      <w:sz w:val="24"/>
    </w:rPr>
  </w:style>
  <w:style w:type="paragraph" w:customStyle="1" w:styleId="outline2nortind">
    <w:name w:val="outline 2 no rt ind"/>
    <w:pPr>
      <w:tabs>
        <w:tab w:val="left" w:pos="576"/>
        <w:tab w:val="left" w:pos="1152"/>
      </w:tabs>
      <w:ind w:left="1152" w:hanging="1152"/>
      <w:jc w:val="both"/>
    </w:pPr>
    <w:rPr>
      <w:rFonts w:ascii="zapf humanist" w:hAnsi="zapf humanist"/>
      <w:sz w:val="24"/>
    </w:rPr>
  </w:style>
  <w:style w:type="paragraph" w:customStyle="1" w:styleId="outline3nortind">
    <w:name w:val="outline 3 no rt ind"/>
    <w:pPr>
      <w:tabs>
        <w:tab w:val="left" w:pos="1152"/>
        <w:tab w:val="left" w:pos="1728"/>
      </w:tabs>
      <w:ind w:left="1728" w:hanging="1728"/>
      <w:jc w:val="both"/>
    </w:pPr>
    <w:rPr>
      <w:rFonts w:ascii="Times New Roman" w:hAnsi="Times New Roman"/>
      <w:sz w:val="24"/>
    </w:rPr>
  </w:style>
  <w:style w:type="paragraph" w:customStyle="1" w:styleId="outline4nortind">
    <w:name w:val="outline 4 no rt ind"/>
    <w:pPr>
      <w:tabs>
        <w:tab w:val="left" w:pos="1728"/>
        <w:tab w:val="left" w:pos="2304"/>
      </w:tabs>
      <w:ind w:left="2304" w:hanging="2304"/>
      <w:jc w:val="both"/>
    </w:pPr>
    <w:rPr>
      <w:rFonts w:ascii="Times New Roman" w:hAnsi="Times New Roman"/>
      <w:sz w:val="24"/>
    </w:rPr>
  </w:style>
  <w:style w:type="paragraph" w:customStyle="1" w:styleId="outline5nortind">
    <w:name w:val="outline 5 no rt ind"/>
    <w:pPr>
      <w:tabs>
        <w:tab w:val="left" w:pos="2304"/>
        <w:tab w:val="left" w:pos="2880"/>
      </w:tabs>
      <w:ind w:left="2880" w:hanging="2880"/>
      <w:jc w:val="both"/>
    </w:pPr>
    <w:rPr>
      <w:rFonts w:ascii="Times New Roman" w:hAnsi="Times New Roman"/>
      <w:sz w:val="24"/>
    </w:rPr>
  </w:style>
  <w:style w:type="paragraph" w:styleId="BalloonText">
    <w:name w:val="Balloon Text"/>
    <w:basedOn w:val="Normal"/>
    <w:link w:val="BalloonTextChar"/>
    <w:rsid w:val="00701DA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01DA2"/>
    <w:rPr>
      <w:rFonts w:ascii="Tahoma" w:hAnsi="Tahoma" w:cs="Tahoma"/>
      <w:sz w:val="16"/>
      <w:szCs w:val="16"/>
    </w:rPr>
  </w:style>
  <w:style w:type="paragraph" w:customStyle="1" w:styleId="Title1">
    <w:name w:val="Title1"/>
    <w:basedOn w:val="Normal"/>
    <w:rsid w:val="004169FB"/>
    <w:pPr>
      <w:spacing w:line="240" w:lineRule="auto"/>
      <w:jc w:val="center"/>
    </w:pPr>
    <w:rPr>
      <w:rFonts w:ascii="NewCenturySchlbk" w:hAnsi="NewCenturySchlbk"/>
      <w:b/>
      <w:sz w:val="28"/>
    </w:rPr>
  </w:style>
  <w:style w:type="paragraph" w:customStyle="1" w:styleId="centered">
    <w:name w:val="centered"/>
    <w:basedOn w:val="Normal"/>
    <w:rsid w:val="004169FB"/>
    <w:pPr>
      <w:spacing w:line="240" w:lineRule="auto"/>
      <w:jc w:val="center"/>
    </w:pPr>
    <w:rPr>
      <w:rFonts w:ascii="NewCenturySchlbk" w:hAnsi="NewCenturySchlbk"/>
      <w:sz w:val="22"/>
    </w:rPr>
  </w:style>
  <w:style w:type="paragraph" w:styleId="Title">
    <w:name w:val="Title"/>
    <w:basedOn w:val="Normal"/>
    <w:next w:val="Normal"/>
    <w:link w:val="TitleChar"/>
    <w:qFormat/>
    <w:rsid w:val="001A65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652E"/>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qFormat/>
    <w:rsid w:val="000C2E78"/>
    <w:rPr>
      <w:i/>
      <w:iCs/>
    </w:rPr>
  </w:style>
  <w:style w:type="paragraph" w:styleId="Subtitle">
    <w:name w:val="Subtitle"/>
    <w:basedOn w:val="Normal"/>
    <w:next w:val="Normal"/>
    <w:link w:val="SubtitleChar"/>
    <w:uiPriority w:val="11"/>
    <w:qFormat/>
    <w:rsid w:val="00FE014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14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rsid w:val="00985F45"/>
    <w:rPr>
      <w:color w:val="0000FF" w:themeColor="hyperlink"/>
      <w:u w:val="single"/>
    </w:rPr>
  </w:style>
  <w:style w:type="character" w:styleId="FollowedHyperlink">
    <w:name w:val="FollowedHyperlink"/>
    <w:basedOn w:val="DefaultParagraphFont"/>
    <w:rsid w:val="00985F45"/>
    <w:rPr>
      <w:color w:val="800080" w:themeColor="followedHyperlink"/>
      <w:u w:val="single"/>
    </w:rPr>
  </w:style>
  <w:style w:type="character" w:customStyle="1" w:styleId="FooterChar">
    <w:name w:val="Footer Char"/>
    <w:basedOn w:val="DefaultParagraphFont"/>
    <w:link w:val="Footer"/>
    <w:uiPriority w:val="99"/>
    <w:rsid w:val="009B4F05"/>
    <w:rPr>
      <w:rFonts w:ascii="Times New Roman" w:hAnsi="Times New Roman"/>
      <w:sz w:val="24"/>
    </w:rPr>
  </w:style>
  <w:style w:type="paragraph" w:customStyle="1" w:styleId="7F164CA3BF9C4373845ECB452A5D9922">
    <w:name w:val="7F164CA3BF9C4373845ECB452A5D9922"/>
    <w:rsid w:val="009B4F0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advancedval.com/publicati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www.advancedval.com"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bgoodman@advancedval.com"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Lotus\ESOP-LasVegas-2012-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Lotus\Plexus11%20Before%20Revised%20Projections%20that%20were%20received%206-13-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otus\Plexus11%20Before%20Revised%20Projections%20that%20were%20received%206-13-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otus\Plexus11%20Before%20Revised%20Projections%20that%20were%20received%206-13-12.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Lotus\Plexus11%20Before%20Revised%20Projections%20that%20were%20received%206-13-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200"/>
      <c:rAngAx val="1"/>
    </c:view3D>
    <c:floor>
      <c:thickness val="0"/>
    </c:floor>
    <c:sideWall>
      <c:thickness val="0"/>
    </c:sideWall>
    <c:backWall>
      <c:thickness val="0"/>
    </c:backWall>
    <c:plotArea>
      <c:layout>
        <c:manualLayout>
          <c:layoutTarget val="inner"/>
          <c:xMode val="edge"/>
          <c:yMode val="edge"/>
          <c:x val="0.18867924528301888"/>
          <c:y val="0.10440456769983687"/>
          <c:w val="0.80022197558268593"/>
          <c:h val="0.75856443719412725"/>
        </c:manualLayout>
      </c:layout>
      <c:bar3DChart>
        <c:barDir val="col"/>
        <c:grouping val="clustered"/>
        <c:varyColors val="0"/>
        <c:ser>
          <c:idx val="0"/>
          <c:order val="0"/>
          <c:tx>
            <c:strRef>
              <c:f>Data!$A$2</c:f>
              <c:strCache>
                <c:ptCount val="1"/>
                <c:pt idx="0">
                  <c:v>Gradual Increasing Cash Flow</c:v>
                </c:pt>
              </c:strCache>
            </c:strRef>
          </c:tx>
          <c:spPr>
            <a:solidFill>
              <a:srgbClr val="0070C0"/>
            </a:solidFill>
          </c:spPr>
          <c:invertIfNegative val="0"/>
          <c:dPt>
            <c:idx val="6"/>
            <c:invertIfNegative val="0"/>
            <c:bubble3D val="0"/>
            <c:spPr>
              <a:solidFill>
                <a:srgbClr val="C00000"/>
              </a:solidFill>
            </c:spPr>
          </c:dPt>
          <c:dPt>
            <c:idx val="7"/>
            <c:invertIfNegative val="0"/>
            <c:bubble3D val="0"/>
            <c:spPr>
              <a:solidFill>
                <a:srgbClr val="C00000"/>
              </a:solidFill>
            </c:spPr>
          </c:dPt>
          <c:dPt>
            <c:idx val="8"/>
            <c:invertIfNegative val="0"/>
            <c:bubble3D val="0"/>
            <c:spPr>
              <a:solidFill>
                <a:srgbClr val="C00000"/>
              </a:solidFill>
            </c:spPr>
          </c:dPt>
          <c:dLbls>
            <c:dLbl>
              <c:idx val="0"/>
              <c:layout>
                <c:manualLayout>
                  <c:x val="1.3279170125931796E-2"/>
                  <c:y val="-2.2052378267243579E-2"/>
                </c:manualLayout>
              </c:layout>
              <c:showLegendKey val="0"/>
              <c:showVal val="1"/>
              <c:showCatName val="0"/>
              <c:showSerName val="0"/>
              <c:showPercent val="0"/>
              <c:showBubbleSize val="0"/>
            </c:dLbl>
            <c:dLbl>
              <c:idx val="1"/>
              <c:layout>
                <c:manualLayout>
                  <c:x val="1.2235665824790749E-2"/>
                  <c:y val="-1.8250108130007464E-2"/>
                </c:manualLayout>
              </c:layout>
              <c:showLegendKey val="0"/>
              <c:showVal val="1"/>
              <c:showCatName val="0"/>
              <c:showSerName val="0"/>
              <c:showPercent val="0"/>
              <c:showBubbleSize val="0"/>
            </c:dLbl>
            <c:dLbl>
              <c:idx val="2"/>
              <c:layout>
                <c:manualLayout>
                  <c:x val="1.3411800698423593E-2"/>
                  <c:y val="-2.1598456393390746E-2"/>
                </c:manualLayout>
              </c:layout>
              <c:showLegendKey val="0"/>
              <c:showVal val="1"/>
              <c:showCatName val="0"/>
              <c:showSerName val="0"/>
              <c:showPercent val="0"/>
              <c:showBubbleSize val="0"/>
            </c:dLbl>
            <c:dLbl>
              <c:idx val="3"/>
              <c:layout>
                <c:manualLayout>
                  <c:x val="1.3478057658626955E-2"/>
                  <c:y val="-2.2259615360457827E-2"/>
                </c:manualLayout>
              </c:layout>
              <c:showLegendKey val="0"/>
              <c:showVal val="1"/>
              <c:showCatName val="0"/>
              <c:showSerName val="0"/>
              <c:showPercent val="0"/>
              <c:showBubbleSize val="0"/>
            </c:dLbl>
            <c:dLbl>
              <c:idx val="4"/>
              <c:layout>
                <c:manualLayout>
                  <c:x val="9.1049196171972754E-3"/>
                  <c:y val="-2.5074584338707347E-2"/>
                </c:manualLayout>
              </c:layout>
              <c:showLegendKey val="0"/>
              <c:showVal val="1"/>
              <c:showCatName val="0"/>
              <c:showSerName val="0"/>
              <c:showPercent val="0"/>
              <c:showBubbleSize val="0"/>
            </c:dLbl>
            <c:dLbl>
              <c:idx val="5"/>
              <c:layout>
                <c:manualLayout>
                  <c:x val="1.472056614454826E-2"/>
                  <c:y val="-2.1831220566195738E-2"/>
                </c:manualLayout>
              </c:layout>
              <c:showLegendKey val="0"/>
              <c:showVal val="1"/>
              <c:showCatName val="0"/>
              <c:showSerName val="0"/>
              <c:showPercent val="0"/>
              <c:showBubbleSize val="0"/>
            </c:dLbl>
            <c:dLbl>
              <c:idx val="6"/>
              <c:layout>
                <c:manualLayout>
                  <c:x val="1.3676945191322031E-2"/>
                  <c:y val="-3.0415780691845095E-2"/>
                </c:manualLayout>
              </c:layout>
              <c:showLegendKey val="0"/>
              <c:showVal val="1"/>
              <c:showCatName val="0"/>
              <c:showSerName val="0"/>
              <c:showPercent val="0"/>
              <c:showBubbleSize val="0"/>
            </c:dLbl>
            <c:dLbl>
              <c:idx val="7"/>
              <c:layout>
                <c:manualLayout>
                  <c:x val="1.4853196717040029E-2"/>
                  <c:y val="-2.6297423222425263E-2"/>
                </c:manualLayout>
              </c:layout>
              <c:showLegendKey val="0"/>
              <c:showVal val="1"/>
              <c:showCatName val="0"/>
              <c:showSerName val="0"/>
              <c:showPercent val="0"/>
              <c:showBubbleSize val="0"/>
            </c:dLbl>
            <c:dLbl>
              <c:idx val="8"/>
              <c:layout>
                <c:manualLayout>
                  <c:x val="1.824908741753194E-2"/>
                  <c:y val="-2.246261285347978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Data!$B$1:$J$1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Data!$B$2:$J$2</c:f>
              <c:numCache>
                <c:formatCode>"$"#,##0;[Red]\-"$"#,##0</c:formatCode>
                <c:ptCount val="9"/>
                <c:pt idx="0">
                  <c:v>1000000</c:v>
                </c:pt>
                <c:pt idx="1">
                  <c:v>1050000</c:v>
                </c:pt>
                <c:pt idx="2">
                  <c:v>1102500</c:v>
                </c:pt>
                <c:pt idx="3">
                  <c:v>1157625</c:v>
                </c:pt>
                <c:pt idx="4">
                  <c:v>1215506</c:v>
                </c:pt>
                <c:pt idx="5">
                  <c:v>1276281</c:v>
                </c:pt>
                <c:pt idx="6">
                  <c:v>1340095</c:v>
                </c:pt>
                <c:pt idx="7">
                  <c:v>1407100</c:v>
                </c:pt>
                <c:pt idx="8">
                  <c:v>1477455</c:v>
                </c:pt>
              </c:numCache>
            </c:numRef>
          </c:val>
        </c:ser>
        <c:dLbls>
          <c:showLegendKey val="0"/>
          <c:showVal val="0"/>
          <c:showCatName val="0"/>
          <c:showSerName val="0"/>
          <c:showPercent val="0"/>
          <c:showBubbleSize val="0"/>
        </c:dLbls>
        <c:gapWidth val="150"/>
        <c:gapDepth val="0"/>
        <c:shape val="box"/>
        <c:axId val="239101440"/>
        <c:axId val="239103360"/>
        <c:axId val="0"/>
      </c:bar3DChart>
      <c:catAx>
        <c:axId val="2391014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239103360"/>
        <c:crosses val="autoZero"/>
        <c:auto val="0"/>
        <c:lblAlgn val="ctr"/>
        <c:lblOffset val="100"/>
        <c:tickLblSkip val="1"/>
        <c:tickMarkSkip val="12"/>
        <c:noMultiLvlLbl val="0"/>
      </c:catAx>
      <c:valAx>
        <c:axId val="239103360"/>
        <c:scaling>
          <c:orientation val="minMax"/>
          <c:min val="0"/>
        </c:scaling>
        <c:delete val="0"/>
        <c:axPos val="l"/>
        <c:majorGridlines>
          <c:spPr>
            <a:ln w="3175">
              <a:solidFill>
                <a:srgbClr val="000000"/>
              </a:solidFill>
              <a:prstDash val="solid"/>
            </a:ln>
          </c:spPr>
        </c:majorGridlines>
        <c:title>
          <c:tx>
            <c:rich>
              <a:bodyPr/>
              <a:lstStyle/>
              <a:p>
                <a:pPr>
                  <a:defRPr sz="1200"/>
                </a:pPr>
                <a:r>
                  <a:rPr lang="en-US" sz="1200"/>
                  <a:t>CASH FLOW</a:t>
                </a:r>
              </a:p>
            </c:rich>
          </c:tx>
          <c:layout>
            <c:manualLayout>
              <c:xMode val="edge"/>
              <c:yMode val="edge"/>
              <c:x val="1.1098779134295227E-2"/>
              <c:y val="0.35725938009787928"/>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a:pPr>
            <a:endParaRPr lang="en-US"/>
          </a:p>
        </c:txPr>
        <c:crossAx val="239101440"/>
        <c:crosses val="autoZero"/>
        <c:crossBetween val="between"/>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200"/>
      <c:rAngAx val="1"/>
    </c:view3D>
    <c:floor>
      <c:thickness val="0"/>
    </c:floor>
    <c:sideWall>
      <c:thickness val="0"/>
    </c:sideWall>
    <c:backWall>
      <c:thickness val="0"/>
    </c:backWall>
    <c:plotArea>
      <c:layout>
        <c:manualLayout>
          <c:layoutTarget val="inner"/>
          <c:xMode val="edge"/>
          <c:yMode val="edge"/>
          <c:x val="0.18867924528301888"/>
          <c:y val="0.10440456769983687"/>
          <c:w val="0.80022197558268593"/>
          <c:h val="0.75856443719412725"/>
        </c:manualLayout>
      </c:layout>
      <c:bar3DChart>
        <c:barDir val="col"/>
        <c:grouping val="clustered"/>
        <c:varyColors val="0"/>
        <c:ser>
          <c:idx val="0"/>
          <c:order val="0"/>
          <c:tx>
            <c:strRef>
              <c:f>Data!$A$2</c:f>
              <c:strCache>
                <c:ptCount val="1"/>
                <c:pt idx="0">
                  <c:v>Gradual Increasing Cash Flow</c:v>
                </c:pt>
              </c:strCache>
            </c:strRef>
          </c:tx>
          <c:spPr>
            <a:solidFill>
              <a:srgbClr val="0070C0"/>
            </a:solidFill>
          </c:spPr>
          <c:invertIfNegative val="0"/>
          <c:dPt>
            <c:idx val="6"/>
            <c:invertIfNegative val="0"/>
            <c:bubble3D val="0"/>
            <c:spPr>
              <a:solidFill>
                <a:srgbClr val="C00000"/>
              </a:solidFill>
            </c:spPr>
          </c:dPt>
          <c:dPt>
            <c:idx val="7"/>
            <c:invertIfNegative val="0"/>
            <c:bubble3D val="0"/>
            <c:spPr>
              <a:solidFill>
                <a:srgbClr val="C00000"/>
              </a:solidFill>
            </c:spPr>
          </c:dPt>
          <c:dPt>
            <c:idx val="8"/>
            <c:invertIfNegative val="0"/>
            <c:bubble3D val="0"/>
            <c:spPr>
              <a:solidFill>
                <a:srgbClr val="C00000"/>
              </a:solidFill>
            </c:spPr>
          </c:dPt>
          <c:dLbls>
            <c:dLbl>
              <c:idx val="0"/>
              <c:layout>
                <c:manualLayout>
                  <c:x val="1.1007891494140354E-2"/>
                  <c:y val="-2.1689466630700531E-2"/>
                </c:manualLayout>
              </c:layout>
              <c:showLegendKey val="0"/>
              <c:showVal val="1"/>
              <c:showCatName val="0"/>
              <c:showSerName val="0"/>
              <c:showPercent val="0"/>
              <c:showBubbleSize val="0"/>
            </c:dLbl>
            <c:dLbl>
              <c:idx val="1"/>
              <c:layout>
                <c:manualLayout>
                  <c:x val="1.2545640451991268E-2"/>
                  <c:y val="-2.0284046875869731E-2"/>
                </c:manualLayout>
              </c:layout>
              <c:showLegendKey val="0"/>
              <c:showVal val="1"/>
              <c:showCatName val="0"/>
              <c:showSerName val="0"/>
              <c:showPercent val="0"/>
              <c:showBubbleSize val="0"/>
            </c:dLbl>
            <c:dLbl>
              <c:idx val="2"/>
              <c:layout>
                <c:manualLayout>
                  <c:x val="1.1001832318130017E-2"/>
                  <c:y val="-2.7617542913171759E-2"/>
                </c:manualLayout>
              </c:layout>
              <c:showLegendKey val="0"/>
              <c:showVal val="1"/>
              <c:showCatName val="0"/>
              <c:showSerName val="0"/>
              <c:showPercent val="0"/>
              <c:showBubbleSize val="0"/>
            </c:dLbl>
            <c:dLbl>
              <c:idx val="3"/>
              <c:layout>
                <c:manualLayout>
                  <c:x val="1.1203999056166817E-2"/>
                  <c:y val="-4.0562784464339995E-2"/>
                </c:manualLayout>
              </c:layout>
              <c:showLegendKey val="0"/>
              <c:showVal val="1"/>
              <c:showCatName val="0"/>
              <c:showSerName val="0"/>
              <c:showPercent val="0"/>
              <c:showBubbleSize val="0"/>
            </c:dLbl>
            <c:dLbl>
              <c:idx val="4"/>
              <c:layout>
                <c:manualLayout>
                  <c:x val="1.1269484766124537E-2"/>
                  <c:y val="-3.2757446917830203E-2"/>
                </c:manualLayout>
              </c:layout>
              <c:showLegendKey val="0"/>
              <c:showVal val="1"/>
              <c:showCatName val="0"/>
              <c:showSerName val="0"/>
              <c:showPercent val="0"/>
              <c:showBubbleSize val="0"/>
            </c:dLbl>
            <c:dLbl>
              <c:idx val="5"/>
              <c:layout>
                <c:manualLayout>
                  <c:x val="1.4664487693755279E-2"/>
                  <c:y val="-3.6948701151344653E-2"/>
                </c:manualLayout>
              </c:layout>
              <c:showLegendKey val="0"/>
              <c:showVal val="1"/>
              <c:showCatName val="0"/>
              <c:showSerName val="0"/>
              <c:showPercent val="0"/>
              <c:showBubbleSize val="0"/>
            </c:dLbl>
            <c:dLbl>
              <c:idx val="6"/>
              <c:layout>
                <c:manualLayout>
                  <c:x val="1.5839734794526949E-2"/>
                  <c:y val="-2.5208154037841501E-2"/>
                </c:manualLayout>
              </c:layout>
              <c:showLegendKey val="0"/>
              <c:showVal val="1"/>
              <c:showCatName val="0"/>
              <c:showSerName val="0"/>
              <c:showPercent val="0"/>
              <c:showBubbleSize val="0"/>
            </c:dLbl>
            <c:dLbl>
              <c:idx val="7"/>
              <c:layout>
                <c:manualLayout>
                  <c:x val="1.0355714414721408E-2"/>
                  <c:y val="-2.55534289861402E-2"/>
                </c:manualLayout>
              </c:layout>
              <c:showLegendKey val="0"/>
              <c:showVal val="1"/>
              <c:showCatName val="0"/>
              <c:showSerName val="0"/>
              <c:showPercent val="0"/>
              <c:showBubbleSize val="0"/>
            </c:dLbl>
            <c:dLbl>
              <c:idx val="8"/>
              <c:layout>
                <c:manualLayout>
                  <c:x val="1.5970589691826804E-2"/>
                  <c:y val="-2.2979794736098461E-2"/>
                </c:manualLayout>
              </c:layout>
              <c:showLegendKey val="0"/>
              <c:showVal val="1"/>
              <c:showCatName val="0"/>
              <c:showSerName val="0"/>
              <c:showPercent val="0"/>
              <c:showBubbleSize val="0"/>
            </c:dLbl>
            <c:spPr>
              <a:noFill/>
              <a:ln w="25400">
                <a:noFill/>
              </a:ln>
            </c:spPr>
            <c:showLegendKey val="0"/>
            <c:showVal val="1"/>
            <c:showCatName val="0"/>
            <c:showSerName val="0"/>
            <c:showPercent val="0"/>
            <c:showBubbleSize val="0"/>
            <c:showLeaderLines val="0"/>
          </c:dLbls>
          <c:cat>
            <c:numRef>
              <c:f>Data!$B$1:$J$1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Data!$B$7:$J$7</c:f>
              <c:numCache>
                <c:formatCode>"$"#,##0;[Red]\-"$"#,##0</c:formatCode>
                <c:ptCount val="9"/>
                <c:pt idx="0">
                  <c:v>2500000</c:v>
                </c:pt>
                <c:pt idx="1">
                  <c:v>500000</c:v>
                </c:pt>
                <c:pt idx="2">
                  <c:v>25000</c:v>
                </c:pt>
                <c:pt idx="3">
                  <c:v>1500000</c:v>
                </c:pt>
                <c:pt idx="4">
                  <c:v>2000000</c:v>
                </c:pt>
                <c:pt idx="5">
                  <c:v>1000000</c:v>
                </c:pt>
                <c:pt idx="6">
                  <c:v>2400000</c:v>
                </c:pt>
                <c:pt idx="7">
                  <c:v>2520000</c:v>
                </c:pt>
                <c:pt idx="8">
                  <c:v>2646000</c:v>
                </c:pt>
              </c:numCache>
            </c:numRef>
          </c:val>
        </c:ser>
        <c:dLbls>
          <c:showLegendKey val="0"/>
          <c:showVal val="0"/>
          <c:showCatName val="0"/>
          <c:showSerName val="0"/>
          <c:showPercent val="0"/>
          <c:showBubbleSize val="0"/>
        </c:dLbls>
        <c:gapWidth val="150"/>
        <c:gapDepth val="0"/>
        <c:shape val="box"/>
        <c:axId val="264708480"/>
        <c:axId val="264710016"/>
        <c:axId val="0"/>
      </c:bar3DChart>
      <c:catAx>
        <c:axId val="264708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264710016"/>
        <c:crosses val="autoZero"/>
        <c:auto val="0"/>
        <c:lblAlgn val="ctr"/>
        <c:lblOffset val="100"/>
        <c:tickLblSkip val="1"/>
        <c:tickMarkSkip val="12"/>
        <c:noMultiLvlLbl val="0"/>
      </c:catAx>
      <c:valAx>
        <c:axId val="264710016"/>
        <c:scaling>
          <c:orientation val="minMax"/>
          <c:min val="0"/>
        </c:scaling>
        <c:delete val="0"/>
        <c:axPos val="l"/>
        <c:majorGridlines>
          <c:spPr>
            <a:ln w="3175">
              <a:solidFill>
                <a:srgbClr val="000000"/>
              </a:solidFill>
              <a:prstDash val="solid"/>
            </a:ln>
          </c:spPr>
        </c:majorGridlines>
        <c:title>
          <c:tx>
            <c:rich>
              <a:bodyPr/>
              <a:lstStyle/>
              <a:p>
                <a:pPr>
                  <a:defRPr/>
                </a:pPr>
                <a:r>
                  <a:rPr lang="en-US"/>
                  <a:t>CASH FLOW</a:t>
                </a:r>
              </a:p>
            </c:rich>
          </c:tx>
          <c:layout>
            <c:manualLayout>
              <c:xMode val="edge"/>
              <c:yMode val="edge"/>
              <c:x val="1.1098779134295227E-2"/>
              <c:y val="0.35725938009787928"/>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a:pPr>
            <a:endParaRPr lang="en-US"/>
          </a:p>
        </c:txPr>
        <c:crossAx val="264708480"/>
        <c:crosses val="autoZero"/>
        <c:crossBetween val="between"/>
      </c:valAx>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200"/>
      <c:rAngAx val="1"/>
    </c:view3D>
    <c:floor>
      <c:thickness val="0"/>
    </c:floor>
    <c:sideWall>
      <c:thickness val="0"/>
    </c:sideWall>
    <c:backWall>
      <c:thickness val="0"/>
    </c:backWall>
    <c:plotArea>
      <c:layout>
        <c:manualLayout>
          <c:layoutTarget val="inner"/>
          <c:xMode val="edge"/>
          <c:yMode val="edge"/>
          <c:x val="0.19200887902330743"/>
          <c:y val="0.10440456769983687"/>
          <c:w val="0.79911209766925639"/>
          <c:h val="0.75856443719412725"/>
        </c:manualLayout>
      </c:layout>
      <c:bar3DChart>
        <c:barDir val="col"/>
        <c:grouping val="clustered"/>
        <c:varyColors val="0"/>
        <c:ser>
          <c:idx val="0"/>
          <c:order val="0"/>
          <c:tx>
            <c:strRef>
              <c:f>Data!$A$2</c:f>
              <c:strCache>
                <c:ptCount val="1"/>
                <c:pt idx="0">
                  <c:v>Gradual Increasing Cash Flow</c:v>
                </c:pt>
              </c:strCache>
            </c:strRef>
          </c:tx>
          <c:spPr>
            <a:solidFill>
              <a:srgbClr val="0070C0"/>
            </a:solidFill>
            <a:effectLst>
              <a:innerShdw blurRad="63500" dist="50800" dir="13500000">
                <a:prstClr val="black">
                  <a:alpha val="50000"/>
                </a:prstClr>
              </a:innerShdw>
            </a:effectLst>
          </c:spPr>
          <c:invertIfNegative val="0"/>
          <c:dPt>
            <c:idx val="6"/>
            <c:invertIfNegative val="0"/>
            <c:bubble3D val="0"/>
            <c:spPr>
              <a:solidFill>
                <a:srgbClr val="C00000"/>
              </a:solidFill>
              <a:effectLst>
                <a:innerShdw blurRad="63500" dist="50800" dir="13500000">
                  <a:prstClr val="black">
                    <a:alpha val="50000"/>
                  </a:prstClr>
                </a:innerShdw>
              </a:effectLst>
            </c:spPr>
          </c:dPt>
          <c:dPt>
            <c:idx val="7"/>
            <c:invertIfNegative val="0"/>
            <c:bubble3D val="0"/>
            <c:spPr>
              <a:solidFill>
                <a:srgbClr val="C00000"/>
              </a:solidFill>
              <a:effectLst>
                <a:innerShdw blurRad="63500" dist="50800" dir="13500000">
                  <a:prstClr val="black">
                    <a:alpha val="50000"/>
                  </a:prstClr>
                </a:innerShdw>
              </a:effectLst>
            </c:spPr>
          </c:dPt>
          <c:dPt>
            <c:idx val="8"/>
            <c:invertIfNegative val="0"/>
            <c:bubble3D val="0"/>
            <c:spPr>
              <a:solidFill>
                <a:srgbClr val="C00000"/>
              </a:solidFill>
              <a:effectLst>
                <a:innerShdw blurRad="63500" dist="50800" dir="13500000">
                  <a:prstClr val="black">
                    <a:alpha val="50000"/>
                  </a:prstClr>
                </a:innerShdw>
              </a:effectLst>
            </c:spPr>
          </c:dPt>
          <c:dLbls>
            <c:dLbl>
              <c:idx val="0"/>
              <c:layout>
                <c:manualLayout>
                  <c:x val="1.5507295772268219E-2"/>
                  <c:y val="-2.3478525216974258E-2"/>
                </c:manualLayout>
              </c:layout>
              <c:showLegendKey val="0"/>
              <c:showVal val="1"/>
              <c:showCatName val="0"/>
              <c:showSerName val="0"/>
              <c:showPercent val="0"/>
              <c:showBubbleSize val="0"/>
            </c:dLbl>
            <c:dLbl>
              <c:idx val="1"/>
              <c:layout>
                <c:manualLayout>
                  <c:x val="1.0142827596051047E-2"/>
                  <c:y val="-4.3173583726177807E-2"/>
                </c:manualLayout>
              </c:layout>
              <c:showLegendKey val="0"/>
              <c:showVal val="1"/>
              <c:showCatName val="0"/>
              <c:showSerName val="0"/>
              <c:showPercent val="0"/>
              <c:showBubbleSize val="0"/>
            </c:dLbl>
            <c:dLbl>
              <c:idx val="2"/>
              <c:layout>
                <c:manualLayout>
                  <c:x val="1.2547504813840569E-2"/>
                  <c:y val="-3.6365535874084184E-2"/>
                </c:manualLayout>
              </c:layout>
              <c:showLegendKey val="0"/>
              <c:showVal val="1"/>
              <c:showCatName val="0"/>
              <c:showSerName val="0"/>
              <c:showPercent val="0"/>
              <c:showBubbleSize val="0"/>
            </c:dLbl>
            <c:dLbl>
              <c:idx val="3"/>
              <c:layout>
                <c:manualLayout>
                  <c:x val="1.7172054381104689E-2"/>
                  <c:y val="-3.5660942055978744E-2"/>
                </c:manualLayout>
              </c:layout>
              <c:showLegendKey val="0"/>
              <c:showVal val="1"/>
              <c:showCatName val="0"/>
              <c:showSerName val="0"/>
              <c:showPercent val="0"/>
              <c:showBubbleSize val="0"/>
            </c:dLbl>
            <c:dLbl>
              <c:idx val="4"/>
              <c:layout>
                <c:manualLayout>
                  <c:x val="1.9576731598894209E-2"/>
                  <c:y val="-3.9407243751953445E-2"/>
                </c:manualLayout>
              </c:layout>
              <c:showLegendKey val="0"/>
              <c:showVal val="1"/>
              <c:showCatName val="0"/>
              <c:showSerName val="0"/>
              <c:showPercent val="0"/>
              <c:showBubbleSize val="0"/>
            </c:dLbl>
            <c:dLbl>
              <c:idx val="5"/>
              <c:layout>
                <c:manualLayout>
                  <c:x val="1.754201368558117E-2"/>
                  <c:y val="-4.2688383364803663E-2"/>
                </c:manualLayout>
              </c:layout>
              <c:showLegendKey val="0"/>
              <c:showVal val="1"/>
              <c:showCatName val="0"/>
              <c:showSerName val="0"/>
              <c:showPercent val="0"/>
              <c:showBubbleSize val="0"/>
            </c:dLbl>
            <c:dLbl>
              <c:idx val="6"/>
              <c:layout>
                <c:manualLayout>
                  <c:x val="1.5507179249652661E-2"/>
                  <c:y val="-2.5422923276515356E-2"/>
                </c:manualLayout>
              </c:layout>
              <c:showLegendKey val="0"/>
              <c:showVal val="1"/>
              <c:showCatName val="0"/>
              <c:showSerName val="0"/>
              <c:showPercent val="0"/>
              <c:showBubbleSize val="0"/>
            </c:dLbl>
            <c:dLbl>
              <c:idx val="7"/>
              <c:layout>
                <c:manualLayout>
                  <c:x val="1.3472344813724038E-2"/>
                  <c:y val="-3.9147602471387648E-2"/>
                </c:manualLayout>
              </c:layout>
              <c:showLegendKey val="0"/>
              <c:showVal val="1"/>
              <c:showCatName val="0"/>
              <c:showSerName val="0"/>
              <c:showPercent val="0"/>
              <c:showBubbleSize val="0"/>
            </c:dLbl>
            <c:dLbl>
              <c:idx val="8"/>
              <c:layout>
                <c:manualLayout>
                  <c:x val="1.5877138554129144E-2"/>
                  <c:y val="-3.4280698599461361E-2"/>
                </c:manualLayout>
              </c:layout>
              <c:showLegendKey val="0"/>
              <c:showVal val="1"/>
              <c:showCatName val="0"/>
              <c:showSerName val="0"/>
              <c:showPercent val="0"/>
              <c:showBubbleSize val="0"/>
            </c:dLbl>
            <c:spPr>
              <a:noFill/>
              <a:ln w="25400">
                <a:noFill/>
              </a:ln>
            </c:spPr>
            <c:txPr>
              <a:bodyPr/>
              <a:lstStyle/>
              <a:p>
                <a:pPr>
                  <a:defRPr sz="800"/>
                </a:pPr>
                <a:endParaRPr lang="en-US"/>
              </a:p>
            </c:txPr>
            <c:showLegendKey val="0"/>
            <c:showVal val="1"/>
            <c:showCatName val="0"/>
            <c:showSerName val="0"/>
            <c:showPercent val="0"/>
            <c:showBubbleSize val="0"/>
            <c:showLeaderLines val="0"/>
          </c:dLbls>
          <c:cat>
            <c:numRef>
              <c:f>Data!$B$1:$J$1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Data!$B$19:$J$19</c:f>
              <c:numCache>
                <c:formatCode>"$"#,##0;[Red]\-"$"#,##0</c:formatCode>
                <c:ptCount val="9"/>
                <c:pt idx="0">
                  <c:v>1000000</c:v>
                </c:pt>
                <c:pt idx="1">
                  <c:v>1050000</c:v>
                </c:pt>
                <c:pt idx="2">
                  <c:v>1102500</c:v>
                </c:pt>
                <c:pt idx="3">
                  <c:v>1157625</c:v>
                </c:pt>
                <c:pt idx="4">
                  <c:v>1215506</c:v>
                </c:pt>
                <c:pt idx="5">
                  <c:v>1276281</c:v>
                </c:pt>
                <c:pt idx="6">
                  <c:v>2500000</c:v>
                </c:pt>
                <c:pt idx="7">
                  <c:v>3125000</c:v>
                </c:pt>
                <c:pt idx="8">
                  <c:v>3906250</c:v>
                </c:pt>
              </c:numCache>
            </c:numRef>
          </c:val>
        </c:ser>
        <c:dLbls>
          <c:showLegendKey val="0"/>
          <c:showVal val="0"/>
          <c:showCatName val="0"/>
          <c:showSerName val="0"/>
          <c:showPercent val="0"/>
          <c:showBubbleSize val="0"/>
        </c:dLbls>
        <c:gapWidth val="150"/>
        <c:gapDepth val="0"/>
        <c:shape val="box"/>
        <c:axId val="283872640"/>
        <c:axId val="283874432"/>
        <c:axId val="0"/>
      </c:bar3DChart>
      <c:catAx>
        <c:axId val="283872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n-US"/>
          </a:p>
        </c:txPr>
        <c:crossAx val="283874432"/>
        <c:crosses val="autoZero"/>
        <c:auto val="0"/>
        <c:lblAlgn val="ctr"/>
        <c:lblOffset val="100"/>
        <c:tickLblSkip val="1"/>
        <c:tickMarkSkip val="12"/>
        <c:noMultiLvlLbl val="0"/>
      </c:catAx>
      <c:valAx>
        <c:axId val="283874432"/>
        <c:scaling>
          <c:orientation val="minMax"/>
          <c:min val="0"/>
        </c:scaling>
        <c:delete val="0"/>
        <c:axPos val="l"/>
        <c:majorGridlines>
          <c:spPr>
            <a:ln w="3175">
              <a:solidFill>
                <a:srgbClr val="000000"/>
              </a:solidFill>
              <a:prstDash val="solid"/>
            </a:ln>
          </c:spPr>
        </c:majorGridlines>
        <c:title>
          <c:tx>
            <c:rich>
              <a:bodyPr/>
              <a:lstStyle/>
              <a:p>
                <a:pPr>
                  <a:defRPr/>
                </a:pPr>
                <a:r>
                  <a:rPr lang="en-US"/>
                  <a:t>CASH FLOW</a:t>
                </a:r>
              </a:p>
            </c:rich>
          </c:tx>
          <c:layout>
            <c:manualLayout>
              <c:xMode val="edge"/>
              <c:yMode val="edge"/>
              <c:x val="1.5538290788013319E-2"/>
              <c:y val="0.35725938009787928"/>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a:pPr>
            <a:endParaRPr lang="en-US"/>
          </a:p>
        </c:txPr>
        <c:crossAx val="2838726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641509433962265"/>
          <c:y val="3.7520391517128875E-2"/>
          <c:w val="0.69700332963374034"/>
          <c:h val="0.80097879282218598"/>
        </c:manualLayout>
      </c:layout>
      <c:lineChart>
        <c:grouping val="standard"/>
        <c:varyColors val="0"/>
        <c:ser>
          <c:idx val="1"/>
          <c:order val="0"/>
          <c:tx>
            <c:strRef>
              <c:f>Income!$A$90</c:f>
              <c:strCache>
                <c:ptCount val="1"/>
                <c:pt idx="0">
                  <c:v>Revenue</c:v>
                </c:pt>
              </c:strCache>
            </c:strRef>
          </c:tx>
          <c:marker>
            <c:symbol val="none"/>
          </c:marker>
          <c:dLbls>
            <c:txPr>
              <a:bodyPr/>
              <a:lstStyle/>
              <a:p>
                <a:pPr>
                  <a:defRPr sz="1000"/>
                </a:pPr>
                <a:endParaRPr lang="en-US"/>
              </a:p>
            </c:txPr>
            <c:showLegendKey val="0"/>
            <c:showVal val="1"/>
            <c:showCatName val="0"/>
            <c:showSerName val="0"/>
            <c:showPercent val="0"/>
            <c:showBubbleSize val="0"/>
            <c:showLeaderLines val="0"/>
          </c:dLbls>
          <c:cat>
            <c:strRef>
              <c:f>Income!$B$89:$G$89</c:f>
              <c:strCache>
                <c:ptCount val="6"/>
                <c:pt idx="0">
                  <c:v>2011</c:v>
                </c:pt>
                <c:pt idx="1">
                  <c:v>2012E</c:v>
                </c:pt>
                <c:pt idx="2">
                  <c:v>2013E</c:v>
                </c:pt>
                <c:pt idx="3">
                  <c:v>2014E</c:v>
                </c:pt>
                <c:pt idx="4">
                  <c:v>2015E</c:v>
                </c:pt>
                <c:pt idx="5">
                  <c:v>2016E</c:v>
                </c:pt>
              </c:strCache>
            </c:strRef>
          </c:cat>
          <c:val>
            <c:numRef>
              <c:f>Income!$B$90:$G$90</c:f>
              <c:numCache>
                <c:formatCode>"$"#,##0;[Red]\-"$"#,##0</c:formatCode>
                <c:ptCount val="6"/>
                <c:pt idx="0">
                  <c:v>17120487</c:v>
                </c:pt>
                <c:pt idx="1">
                  <c:v>17360317</c:v>
                </c:pt>
                <c:pt idx="2">
                  <c:v>18401936</c:v>
                </c:pt>
                <c:pt idx="3">
                  <c:v>19874091</c:v>
                </c:pt>
                <c:pt idx="4">
                  <c:v>21464018</c:v>
                </c:pt>
                <c:pt idx="5">
                  <c:v>23181140</c:v>
                </c:pt>
              </c:numCache>
            </c:numRef>
          </c:val>
          <c:smooth val="0"/>
        </c:ser>
        <c:dLbls>
          <c:showLegendKey val="0"/>
          <c:showVal val="1"/>
          <c:showCatName val="0"/>
          <c:showSerName val="0"/>
          <c:showPercent val="0"/>
          <c:showBubbleSize val="0"/>
        </c:dLbls>
        <c:marker val="1"/>
        <c:smooth val="0"/>
        <c:axId val="283949312"/>
        <c:axId val="283952256"/>
      </c:lineChart>
      <c:lineChart>
        <c:grouping val="standard"/>
        <c:varyColors val="0"/>
        <c:ser>
          <c:idx val="2"/>
          <c:order val="1"/>
          <c:tx>
            <c:strRef>
              <c:f>Income!$A$91</c:f>
              <c:strCache>
                <c:ptCount val="1"/>
                <c:pt idx="0">
                  <c:v>Revenue-Last</c:v>
                </c:pt>
              </c:strCache>
            </c:strRef>
          </c:tx>
          <c:spPr>
            <a:ln>
              <a:solidFill>
                <a:schemeClr val="accent5"/>
              </a:solidFill>
            </a:ln>
          </c:spPr>
          <c:marker>
            <c:symbol val="none"/>
          </c:marker>
          <c:dLbls>
            <c:dLbl>
              <c:idx val="4"/>
              <c:layout>
                <c:manualLayout>
                  <c:x val="-5.9193488716241414E-3"/>
                  <c:y val="-3.4032532230371698E-2"/>
                </c:manualLayout>
              </c:layout>
              <c:dLblPos val="r"/>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Income!$B$89:$F$89</c:f>
              <c:strCache>
                <c:ptCount val="5"/>
                <c:pt idx="0">
                  <c:v>2011</c:v>
                </c:pt>
                <c:pt idx="1">
                  <c:v>2012E</c:v>
                </c:pt>
                <c:pt idx="2">
                  <c:v>2013E</c:v>
                </c:pt>
                <c:pt idx="3">
                  <c:v>2014E</c:v>
                </c:pt>
                <c:pt idx="4">
                  <c:v>2015E</c:v>
                </c:pt>
              </c:strCache>
            </c:strRef>
          </c:cat>
          <c:val>
            <c:numRef>
              <c:f>Income!$B$91:$F$91</c:f>
              <c:numCache>
                <c:formatCode>"$"#,##0;[Red]\-"$"#,##0</c:formatCode>
                <c:ptCount val="5"/>
                <c:pt idx="0">
                  <c:v>20086500</c:v>
                </c:pt>
                <c:pt idx="1">
                  <c:v>21788400</c:v>
                </c:pt>
                <c:pt idx="2">
                  <c:v>23466107</c:v>
                </c:pt>
                <c:pt idx="3">
                  <c:v>25132200</c:v>
                </c:pt>
                <c:pt idx="4">
                  <c:v>26388810</c:v>
                </c:pt>
              </c:numCache>
            </c:numRef>
          </c:val>
          <c:smooth val="0"/>
        </c:ser>
        <c:dLbls>
          <c:showLegendKey val="0"/>
          <c:showVal val="1"/>
          <c:showCatName val="0"/>
          <c:showSerName val="0"/>
          <c:showPercent val="0"/>
          <c:showBubbleSize val="0"/>
        </c:dLbls>
        <c:marker val="1"/>
        <c:smooth val="0"/>
        <c:axId val="283954176"/>
        <c:axId val="283960064"/>
      </c:lineChart>
      <c:catAx>
        <c:axId val="283949312"/>
        <c:scaling>
          <c:orientation val="minMax"/>
        </c:scaling>
        <c:delete val="0"/>
        <c:axPos val="b"/>
        <c:numFmt formatCode="General" sourceLinked="1"/>
        <c:majorTickMark val="cross"/>
        <c:minorTickMark val="none"/>
        <c:tickLblPos val="nextTo"/>
        <c:txPr>
          <a:bodyPr rot="0" vert="horz"/>
          <a:lstStyle/>
          <a:p>
            <a:pPr>
              <a:defRPr sz="1050"/>
            </a:pPr>
            <a:endParaRPr lang="en-US"/>
          </a:p>
        </c:txPr>
        <c:crossAx val="283952256"/>
        <c:crosses val="autoZero"/>
        <c:auto val="0"/>
        <c:lblAlgn val="ctr"/>
        <c:lblOffset val="100"/>
        <c:tickLblSkip val="1"/>
        <c:tickMarkSkip val="1"/>
        <c:noMultiLvlLbl val="0"/>
      </c:catAx>
      <c:valAx>
        <c:axId val="283952256"/>
        <c:scaling>
          <c:orientation val="minMax"/>
        </c:scaling>
        <c:delete val="0"/>
        <c:axPos val="l"/>
        <c:title>
          <c:tx>
            <c:rich>
              <a:bodyPr/>
              <a:lstStyle/>
              <a:p>
                <a:pPr>
                  <a:defRPr b="0"/>
                </a:pPr>
                <a:r>
                  <a:rPr lang="en-US" b="0"/>
                  <a:t>Revenue</a:t>
                </a:r>
              </a:p>
            </c:rich>
          </c:tx>
          <c:layout>
            <c:manualLayout>
              <c:xMode val="edge"/>
              <c:yMode val="edge"/>
              <c:x val="4.4395116537180909E-2"/>
              <c:y val="0.28384991843393148"/>
            </c:manualLayout>
          </c:layout>
          <c:overlay val="0"/>
        </c:title>
        <c:numFmt formatCode="&quot;$&quot;#,##0;[Red]\-&quot;$&quot;#,##0" sourceLinked="1"/>
        <c:majorTickMark val="cross"/>
        <c:minorTickMark val="none"/>
        <c:tickLblPos val="nextTo"/>
        <c:txPr>
          <a:bodyPr rot="0" vert="horz"/>
          <a:lstStyle/>
          <a:p>
            <a:pPr>
              <a:defRPr sz="900"/>
            </a:pPr>
            <a:endParaRPr lang="en-US"/>
          </a:p>
        </c:txPr>
        <c:crossAx val="283949312"/>
        <c:crosses val="autoZero"/>
        <c:crossBetween val="between"/>
      </c:valAx>
      <c:catAx>
        <c:axId val="283954176"/>
        <c:scaling>
          <c:orientation val="minMax"/>
        </c:scaling>
        <c:delete val="1"/>
        <c:axPos val="b"/>
        <c:majorTickMark val="out"/>
        <c:minorTickMark val="none"/>
        <c:tickLblPos val="nextTo"/>
        <c:crossAx val="283960064"/>
        <c:crosses val="autoZero"/>
        <c:auto val="0"/>
        <c:lblAlgn val="ctr"/>
        <c:lblOffset val="100"/>
        <c:noMultiLvlLbl val="0"/>
      </c:catAx>
      <c:valAx>
        <c:axId val="283960064"/>
        <c:scaling>
          <c:orientation val="minMax"/>
        </c:scaling>
        <c:delete val="1"/>
        <c:axPos val="r"/>
        <c:numFmt formatCode="&quot;$&quot;#,##0;[Red]\-&quot;$&quot;#,##0" sourceLinked="1"/>
        <c:majorTickMark val="out"/>
        <c:minorTickMark val="none"/>
        <c:tickLblPos val="nextTo"/>
        <c:crossAx val="283954176"/>
        <c:crosses val="max"/>
        <c:crossBetween val="between"/>
      </c:valAx>
    </c:plotArea>
    <c:legend>
      <c:legendPos val="r"/>
      <c:layout>
        <c:manualLayout>
          <c:xMode val="edge"/>
          <c:yMode val="edge"/>
          <c:x val="0.33592304846466886"/>
          <c:y val="0.92032919227637977"/>
          <c:w val="0.48057713651498335"/>
          <c:h val="5.6832433238662848E-2"/>
        </c:manualLayout>
      </c:layout>
      <c:overlay val="0"/>
      <c:txPr>
        <a:bodyPr/>
        <a:lstStyle/>
        <a:p>
          <a:pPr>
            <a:defRPr sz="14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20643729189789"/>
          <c:y val="4.2414355628058731E-2"/>
          <c:w val="0.70921198668146501"/>
          <c:h val="0.79608482871125608"/>
        </c:manualLayout>
      </c:layout>
      <c:lineChart>
        <c:grouping val="standard"/>
        <c:varyColors val="0"/>
        <c:ser>
          <c:idx val="1"/>
          <c:order val="0"/>
          <c:tx>
            <c:strRef>
              <c:f>Income!$A$94</c:f>
              <c:strCache>
                <c:ptCount val="1"/>
                <c:pt idx="0">
                  <c:v>EBITDA</c:v>
                </c:pt>
              </c:strCache>
            </c:strRef>
          </c:tx>
          <c:marker>
            <c:symbol val="none"/>
          </c:marker>
          <c:dLbls>
            <c:dLbl>
              <c:idx val="2"/>
              <c:layout>
                <c:manualLayout>
                  <c:x val="4.6247826124953025E-4"/>
                  <c:y val="2.3893505970807482E-2"/>
                </c:manualLayout>
              </c:layout>
              <c:dLblPos val="r"/>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Income!$B$93:$G$93</c:f>
              <c:strCache>
                <c:ptCount val="6"/>
                <c:pt idx="0">
                  <c:v>2011</c:v>
                </c:pt>
                <c:pt idx="1">
                  <c:v>2012E</c:v>
                </c:pt>
                <c:pt idx="2">
                  <c:v>2013E</c:v>
                </c:pt>
                <c:pt idx="3">
                  <c:v>2014E</c:v>
                </c:pt>
                <c:pt idx="4">
                  <c:v>2015E</c:v>
                </c:pt>
                <c:pt idx="5">
                  <c:v>2016E</c:v>
                </c:pt>
              </c:strCache>
            </c:strRef>
          </c:cat>
          <c:val>
            <c:numRef>
              <c:f>Income!$B$94:$G$94</c:f>
              <c:numCache>
                <c:formatCode>"$"#,##0;[Red]\-"$"#,##0</c:formatCode>
                <c:ptCount val="6"/>
                <c:pt idx="0">
                  <c:v>1449470</c:v>
                </c:pt>
                <c:pt idx="1">
                  <c:v>557420</c:v>
                </c:pt>
                <c:pt idx="2">
                  <c:v>432701</c:v>
                </c:pt>
                <c:pt idx="3">
                  <c:v>380148</c:v>
                </c:pt>
                <c:pt idx="4">
                  <c:v>568053</c:v>
                </c:pt>
                <c:pt idx="5">
                  <c:v>662549</c:v>
                </c:pt>
              </c:numCache>
            </c:numRef>
          </c:val>
          <c:smooth val="0"/>
        </c:ser>
        <c:dLbls>
          <c:showLegendKey val="0"/>
          <c:showVal val="1"/>
          <c:showCatName val="0"/>
          <c:showSerName val="0"/>
          <c:showPercent val="0"/>
          <c:showBubbleSize val="0"/>
        </c:dLbls>
        <c:marker val="1"/>
        <c:smooth val="0"/>
        <c:axId val="283973504"/>
        <c:axId val="283980544"/>
      </c:lineChart>
      <c:lineChart>
        <c:grouping val="standard"/>
        <c:varyColors val="0"/>
        <c:ser>
          <c:idx val="2"/>
          <c:order val="1"/>
          <c:tx>
            <c:strRef>
              <c:f>Income!$A$95</c:f>
              <c:strCache>
                <c:ptCount val="1"/>
                <c:pt idx="0">
                  <c:v>EBITDA-Last</c:v>
                </c:pt>
              </c:strCache>
            </c:strRef>
          </c:tx>
          <c:spPr>
            <a:ln>
              <a:solidFill>
                <a:schemeClr val="accent5"/>
              </a:solidFill>
            </a:ln>
          </c:spPr>
          <c:marker>
            <c:symbol val="none"/>
          </c:marker>
          <c:dLbls>
            <c:dLbl>
              <c:idx val="1"/>
              <c:layout>
                <c:manualLayout>
                  <c:x val="-9.2518956773022691E-5"/>
                  <c:y val="3.0077455652464363E-2"/>
                </c:manualLayout>
              </c:layout>
              <c:dLblPos val="r"/>
              <c:showLegendKey val="0"/>
              <c:showVal val="1"/>
              <c:showCatName val="0"/>
              <c:showSerName val="0"/>
              <c:showPercent val="0"/>
              <c:showBubbleSize val="0"/>
            </c:dLbl>
            <c:dLbl>
              <c:idx val="3"/>
              <c:layout>
                <c:manualLayout>
                  <c:x val="1.0173589566565009E-3"/>
                  <c:y val="2.4542266637551241E-2"/>
                </c:manualLayout>
              </c:layout>
              <c:dLblPos val="r"/>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Income!$B$93:$F$93</c:f>
              <c:strCache>
                <c:ptCount val="5"/>
                <c:pt idx="0">
                  <c:v>2011</c:v>
                </c:pt>
                <c:pt idx="1">
                  <c:v>2012E</c:v>
                </c:pt>
                <c:pt idx="2">
                  <c:v>2013E</c:v>
                </c:pt>
                <c:pt idx="3">
                  <c:v>2014E</c:v>
                </c:pt>
                <c:pt idx="4">
                  <c:v>2015E</c:v>
                </c:pt>
              </c:strCache>
            </c:strRef>
          </c:cat>
          <c:val>
            <c:numRef>
              <c:f>Income!$B$95:$F$95</c:f>
              <c:numCache>
                <c:formatCode>"$"#,##0;[Red]\-"$"#,##0</c:formatCode>
                <c:ptCount val="5"/>
                <c:pt idx="0">
                  <c:v>1856114</c:v>
                </c:pt>
                <c:pt idx="1">
                  <c:v>2141260</c:v>
                </c:pt>
                <c:pt idx="2">
                  <c:v>2267147</c:v>
                </c:pt>
                <c:pt idx="3">
                  <c:v>2475785</c:v>
                </c:pt>
                <c:pt idx="4">
                  <c:v>2461763</c:v>
                </c:pt>
              </c:numCache>
            </c:numRef>
          </c:val>
          <c:smooth val="0"/>
        </c:ser>
        <c:dLbls>
          <c:showLegendKey val="0"/>
          <c:showVal val="1"/>
          <c:showCatName val="0"/>
          <c:showSerName val="0"/>
          <c:showPercent val="0"/>
          <c:showBubbleSize val="0"/>
        </c:dLbls>
        <c:marker val="1"/>
        <c:smooth val="0"/>
        <c:axId val="283982464"/>
        <c:axId val="283984256"/>
      </c:lineChart>
      <c:catAx>
        <c:axId val="283973504"/>
        <c:scaling>
          <c:orientation val="minMax"/>
        </c:scaling>
        <c:delete val="0"/>
        <c:axPos val="b"/>
        <c:numFmt formatCode="General" sourceLinked="1"/>
        <c:majorTickMark val="cross"/>
        <c:minorTickMark val="none"/>
        <c:tickLblPos val="nextTo"/>
        <c:txPr>
          <a:bodyPr rot="0" vert="horz"/>
          <a:lstStyle/>
          <a:p>
            <a:pPr>
              <a:defRPr sz="1050"/>
            </a:pPr>
            <a:endParaRPr lang="en-US"/>
          </a:p>
        </c:txPr>
        <c:crossAx val="283980544"/>
        <c:crosses val="autoZero"/>
        <c:auto val="0"/>
        <c:lblAlgn val="ctr"/>
        <c:lblOffset val="100"/>
        <c:tickLblSkip val="1"/>
        <c:tickMarkSkip val="1"/>
        <c:noMultiLvlLbl val="0"/>
      </c:catAx>
      <c:valAx>
        <c:axId val="283980544"/>
        <c:scaling>
          <c:orientation val="minMax"/>
        </c:scaling>
        <c:delete val="0"/>
        <c:axPos val="l"/>
        <c:title>
          <c:tx>
            <c:rich>
              <a:bodyPr/>
              <a:lstStyle/>
              <a:p>
                <a:pPr>
                  <a:defRPr b="0"/>
                </a:pPr>
                <a:r>
                  <a:rPr lang="en-US" b="0"/>
                  <a:t>EBITDA</a:t>
                </a:r>
              </a:p>
            </c:rich>
          </c:tx>
          <c:layout>
            <c:manualLayout>
              <c:xMode val="edge"/>
              <c:yMode val="edge"/>
              <c:x val="4.4395116537180909E-2"/>
              <c:y val="0.37357259380097879"/>
            </c:manualLayout>
          </c:layout>
          <c:overlay val="0"/>
        </c:title>
        <c:numFmt formatCode="&quot;$&quot;#,##0;[Red]\-&quot;$&quot;#,##0" sourceLinked="1"/>
        <c:majorTickMark val="cross"/>
        <c:minorTickMark val="none"/>
        <c:tickLblPos val="nextTo"/>
        <c:txPr>
          <a:bodyPr rot="0" vert="horz"/>
          <a:lstStyle/>
          <a:p>
            <a:pPr>
              <a:defRPr sz="900"/>
            </a:pPr>
            <a:endParaRPr lang="en-US"/>
          </a:p>
        </c:txPr>
        <c:crossAx val="283973504"/>
        <c:crosses val="autoZero"/>
        <c:crossBetween val="between"/>
      </c:valAx>
      <c:catAx>
        <c:axId val="283982464"/>
        <c:scaling>
          <c:orientation val="minMax"/>
        </c:scaling>
        <c:delete val="1"/>
        <c:axPos val="b"/>
        <c:majorTickMark val="out"/>
        <c:minorTickMark val="none"/>
        <c:tickLblPos val="nextTo"/>
        <c:crossAx val="283984256"/>
        <c:crosses val="autoZero"/>
        <c:auto val="0"/>
        <c:lblAlgn val="ctr"/>
        <c:lblOffset val="100"/>
        <c:noMultiLvlLbl val="0"/>
      </c:catAx>
      <c:valAx>
        <c:axId val="283984256"/>
        <c:scaling>
          <c:orientation val="minMax"/>
        </c:scaling>
        <c:delete val="1"/>
        <c:axPos val="r"/>
        <c:numFmt formatCode="&quot;$&quot;#,##0;[Red]\-&quot;$&quot;#,##0" sourceLinked="1"/>
        <c:majorTickMark val="out"/>
        <c:minorTickMark val="none"/>
        <c:tickLblPos val="nextTo"/>
        <c:crossAx val="283982464"/>
        <c:crosses val="max"/>
        <c:crossBetween val="between"/>
      </c:valAx>
    </c:plotArea>
    <c:legend>
      <c:legendPos val="r"/>
      <c:layout>
        <c:manualLayout>
          <c:xMode val="edge"/>
          <c:yMode val="edge"/>
          <c:x val="0.28634850166481685"/>
          <c:y val="0.93123532863849767"/>
          <c:w val="0.43396226415094341"/>
          <c:h val="6.5505290099607108E-2"/>
        </c:manualLayout>
      </c:layout>
      <c:overlay val="0"/>
      <c:txPr>
        <a:bodyPr/>
        <a:lstStyle/>
        <a:p>
          <a:pPr>
            <a:defRPr sz="14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72364039955605"/>
          <c:y val="4.2414355628058731E-2"/>
          <c:w val="0.77469478357380683"/>
          <c:h val="0.79608482871125608"/>
        </c:manualLayout>
      </c:layout>
      <c:lineChart>
        <c:grouping val="standard"/>
        <c:varyColors val="0"/>
        <c:ser>
          <c:idx val="1"/>
          <c:order val="0"/>
          <c:tx>
            <c:strRef>
              <c:f>Income!$A$97</c:f>
              <c:strCache>
                <c:ptCount val="1"/>
                <c:pt idx="0">
                  <c:v>EBITDA Margin</c:v>
                </c:pt>
              </c:strCache>
            </c:strRef>
          </c:tx>
          <c:marker>
            <c:symbol val="none"/>
          </c:marker>
          <c:dLbls>
            <c:txPr>
              <a:bodyPr/>
              <a:lstStyle/>
              <a:p>
                <a:pPr>
                  <a:defRPr sz="1000"/>
                </a:pPr>
                <a:endParaRPr lang="en-US"/>
              </a:p>
            </c:txPr>
            <c:showLegendKey val="0"/>
            <c:showVal val="1"/>
            <c:showCatName val="0"/>
            <c:showSerName val="0"/>
            <c:showPercent val="0"/>
            <c:showBubbleSize val="0"/>
            <c:showLeaderLines val="0"/>
          </c:dLbls>
          <c:cat>
            <c:strRef>
              <c:f>Income!$B$93:$G$93</c:f>
              <c:strCache>
                <c:ptCount val="6"/>
                <c:pt idx="0">
                  <c:v>2011</c:v>
                </c:pt>
                <c:pt idx="1">
                  <c:v>2012E</c:v>
                </c:pt>
                <c:pt idx="2">
                  <c:v>2013E</c:v>
                </c:pt>
                <c:pt idx="3">
                  <c:v>2014E</c:v>
                </c:pt>
                <c:pt idx="4">
                  <c:v>2015E</c:v>
                </c:pt>
                <c:pt idx="5">
                  <c:v>2016E</c:v>
                </c:pt>
              </c:strCache>
            </c:strRef>
          </c:cat>
          <c:val>
            <c:numRef>
              <c:f>Income!$B$97:$G$97</c:f>
              <c:numCache>
                <c:formatCode>0.0%</c:formatCode>
                <c:ptCount val="6"/>
                <c:pt idx="0">
                  <c:v>8.4662895395440557E-2</c:v>
                </c:pt>
                <c:pt idx="1">
                  <c:v>3.2108860684974816E-2</c:v>
                </c:pt>
                <c:pt idx="2">
                  <c:v>2.3513884626052389E-2</c:v>
                </c:pt>
                <c:pt idx="3">
                  <c:v>1.9127818223233454E-2</c:v>
                </c:pt>
                <c:pt idx="4">
                  <c:v>2.6465361704411543E-2</c:v>
                </c:pt>
                <c:pt idx="5">
                  <c:v>2.8581381243545399E-2</c:v>
                </c:pt>
              </c:numCache>
            </c:numRef>
          </c:val>
          <c:smooth val="0"/>
        </c:ser>
        <c:dLbls>
          <c:showLegendKey val="0"/>
          <c:showVal val="1"/>
          <c:showCatName val="0"/>
          <c:showSerName val="0"/>
          <c:showPercent val="0"/>
          <c:showBubbleSize val="0"/>
        </c:dLbls>
        <c:marker val="1"/>
        <c:smooth val="0"/>
        <c:axId val="283997696"/>
        <c:axId val="284049792"/>
      </c:lineChart>
      <c:lineChart>
        <c:grouping val="standard"/>
        <c:varyColors val="0"/>
        <c:ser>
          <c:idx val="2"/>
          <c:order val="1"/>
          <c:tx>
            <c:strRef>
              <c:f>Income!$A$98</c:f>
              <c:strCache>
                <c:ptCount val="1"/>
                <c:pt idx="0">
                  <c:v>EBITDA Margin-Last</c:v>
                </c:pt>
              </c:strCache>
            </c:strRef>
          </c:tx>
          <c:spPr>
            <a:ln>
              <a:solidFill>
                <a:schemeClr val="accent1"/>
              </a:solidFill>
            </a:ln>
          </c:spPr>
          <c:marker>
            <c:symbol val="none"/>
          </c:marker>
          <c:dLbls>
            <c:txPr>
              <a:bodyPr/>
              <a:lstStyle/>
              <a:p>
                <a:pPr>
                  <a:defRPr sz="1000"/>
                </a:pPr>
                <a:endParaRPr lang="en-US"/>
              </a:p>
            </c:txPr>
            <c:showLegendKey val="0"/>
            <c:showVal val="1"/>
            <c:showCatName val="0"/>
            <c:showSerName val="0"/>
            <c:showPercent val="0"/>
            <c:showBubbleSize val="0"/>
            <c:showLeaderLines val="0"/>
          </c:dLbls>
          <c:cat>
            <c:strRef>
              <c:f>Income!$B$93:$F$93</c:f>
              <c:strCache>
                <c:ptCount val="5"/>
                <c:pt idx="0">
                  <c:v>2011</c:v>
                </c:pt>
                <c:pt idx="1">
                  <c:v>2012E</c:v>
                </c:pt>
                <c:pt idx="2">
                  <c:v>2013E</c:v>
                </c:pt>
                <c:pt idx="3">
                  <c:v>2014E</c:v>
                </c:pt>
                <c:pt idx="4">
                  <c:v>2015E</c:v>
                </c:pt>
              </c:strCache>
            </c:strRef>
          </c:cat>
          <c:val>
            <c:numRef>
              <c:f>Income!$B$98:$F$98</c:f>
              <c:numCache>
                <c:formatCode>0.0%</c:formatCode>
                <c:ptCount val="5"/>
                <c:pt idx="0">
                  <c:v>9.2406043860304182E-2</c:v>
                </c:pt>
                <c:pt idx="1">
                  <c:v>9.827522902094693E-2</c:v>
                </c:pt>
                <c:pt idx="2">
                  <c:v>9.6613682022331185E-2</c:v>
                </c:pt>
                <c:pt idx="3">
                  <c:v>9.8510476599740576E-2</c:v>
                </c:pt>
                <c:pt idx="4">
                  <c:v>9.3288139935070957E-2</c:v>
                </c:pt>
              </c:numCache>
            </c:numRef>
          </c:val>
          <c:smooth val="0"/>
        </c:ser>
        <c:dLbls>
          <c:showLegendKey val="0"/>
          <c:showVal val="1"/>
          <c:showCatName val="0"/>
          <c:showSerName val="0"/>
          <c:showPercent val="0"/>
          <c:showBubbleSize val="0"/>
        </c:dLbls>
        <c:marker val="1"/>
        <c:smooth val="0"/>
        <c:axId val="284051712"/>
        <c:axId val="284057600"/>
      </c:lineChart>
      <c:catAx>
        <c:axId val="283997696"/>
        <c:scaling>
          <c:orientation val="minMax"/>
        </c:scaling>
        <c:delete val="0"/>
        <c:axPos val="b"/>
        <c:numFmt formatCode="General" sourceLinked="1"/>
        <c:majorTickMark val="cross"/>
        <c:minorTickMark val="none"/>
        <c:tickLblPos val="nextTo"/>
        <c:txPr>
          <a:bodyPr rot="0" vert="horz"/>
          <a:lstStyle/>
          <a:p>
            <a:pPr>
              <a:defRPr sz="1050"/>
            </a:pPr>
            <a:endParaRPr lang="en-US"/>
          </a:p>
        </c:txPr>
        <c:crossAx val="284049792"/>
        <c:crosses val="autoZero"/>
        <c:auto val="0"/>
        <c:lblAlgn val="ctr"/>
        <c:lblOffset val="100"/>
        <c:tickLblSkip val="1"/>
        <c:tickMarkSkip val="1"/>
        <c:noMultiLvlLbl val="0"/>
      </c:catAx>
      <c:valAx>
        <c:axId val="284049792"/>
        <c:scaling>
          <c:orientation val="minMax"/>
        </c:scaling>
        <c:delete val="0"/>
        <c:axPos val="l"/>
        <c:title>
          <c:tx>
            <c:rich>
              <a:bodyPr/>
              <a:lstStyle/>
              <a:p>
                <a:pPr>
                  <a:defRPr b="0"/>
                </a:pPr>
                <a:r>
                  <a:rPr lang="en-US" b="0"/>
                  <a:t>EBITDA Margin</a:t>
                </a:r>
              </a:p>
            </c:rich>
          </c:tx>
          <c:layout>
            <c:manualLayout>
              <c:xMode val="edge"/>
              <c:yMode val="edge"/>
              <c:x val="4.4395116537180909E-2"/>
              <c:y val="0.31321370309951058"/>
            </c:manualLayout>
          </c:layout>
          <c:overlay val="0"/>
        </c:title>
        <c:numFmt formatCode="0%" sourceLinked="0"/>
        <c:majorTickMark val="cross"/>
        <c:minorTickMark val="none"/>
        <c:tickLblPos val="nextTo"/>
        <c:txPr>
          <a:bodyPr rot="0" vert="horz"/>
          <a:lstStyle/>
          <a:p>
            <a:pPr>
              <a:defRPr sz="900"/>
            </a:pPr>
            <a:endParaRPr lang="en-US"/>
          </a:p>
        </c:txPr>
        <c:crossAx val="283997696"/>
        <c:crosses val="autoZero"/>
        <c:crossBetween val="between"/>
      </c:valAx>
      <c:catAx>
        <c:axId val="284051712"/>
        <c:scaling>
          <c:orientation val="minMax"/>
        </c:scaling>
        <c:delete val="1"/>
        <c:axPos val="b"/>
        <c:majorTickMark val="out"/>
        <c:minorTickMark val="none"/>
        <c:tickLblPos val="nextTo"/>
        <c:crossAx val="284057600"/>
        <c:crosses val="autoZero"/>
        <c:auto val="0"/>
        <c:lblAlgn val="ctr"/>
        <c:lblOffset val="100"/>
        <c:noMultiLvlLbl val="0"/>
      </c:catAx>
      <c:valAx>
        <c:axId val="284057600"/>
        <c:scaling>
          <c:orientation val="minMax"/>
        </c:scaling>
        <c:delete val="1"/>
        <c:axPos val="r"/>
        <c:numFmt formatCode="0.0%" sourceLinked="1"/>
        <c:majorTickMark val="out"/>
        <c:minorTickMark val="none"/>
        <c:tickLblPos val="nextTo"/>
        <c:crossAx val="284051712"/>
        <c:crosses val="max"/>
        <c:crossBetween val="between"/>
      </c:valAx>
    </c:plotArea>
    <c:legend>
      <c:legendPos val="r"/>
      <c:layout>
        <c:manualLayout>
          <c:xMode val="edge"/>
          <c:yMode val="edge"/>
          <c:x val="0.15242323344432113"/>
          <c:y val="0.92634638554216864"/>
          <c:w val="0.78986311505734375"/>
          <c:h val="6.1723711284973067E-2"/>
        </c:manualLayout>
      </c:layout>
      <c:overlay val="0"/>
      <c:txPr>
        <a:bodyPr/>
        <a:lstStyle/>
        <a:p>
          <a:pPr>
            <a:defRPr sz="1400"/>
          </a:pPr>
          <a:endParaRPr lang="en-US"/>
        </a:p>
      </c:txPr>
    </c:legend>
    <c:plotVisOnly val="1"/>
    <c:dispBlanksAs val="gap"/>
    <c:showDLblsOverMax val="0"/>
  </c:chart>
  <c:txPr>
    <a:bodyPr/>
    <a:lstStyle/>
    <a:p>
      <a:pPr>
        <a:defRPr sz="1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2"/>
      <c:rotY val="20"/>
      <c:depthPercent val="200"/>
      <c:rAngAx val="1"/>
    </c:view3D>
    <c:floor>
      <c:thickness val="0"/>
      <c:spPr>
        <a:solidFill>
          <a:srgbClr val="000000"/>
        </a:solidFill>
        <a:ln w="3175">
          <a:solidFill>
            <a:srgbClr val="000000"/>
          </a:solidFill>
          <a:prstDash val="solid"/>
        </a:ln>
      </c:spPr>
    </c:floor>
    <c:sideWall>
      <c:thickness val="0"/>
    </c:sideWall>
    <c:backWall>
      <c:thickness val="0"/>
    </c:backWall>
    <c:plotArea>
      <c:layout>
        <c:manualLayout>
          <c:layoutTarget val="inner"/>
          <c:xMode val="edge"/>
          <c:yMode val="edge"/>
          <c:x val="0.18978912319644839"/>
          <c:y val="2.1278911564625851E-2"/>
          <c:w val="0.81021087680355164"/>
          <c:h val="0.77303401360544211"/>
        </c:manualLayout>
      </c:layout>
      <c:bar3DChart>
        <c:barDir val="col"/>
        <c:grouping val="clustered"/>
        <c:varyColors val="0"/>
        <c:ser>
          <c:idx val="0"/>
          <c:order val="0"/>
          <c:tx>
            <c:strRef>
              <c:f>Historic!$T$1</c:f>
              <c:strCache>
                <c:ptCount val="1"/>
                <c:pt idx="0">
                  <c:v>EBITDA</c:v>
                </c:pt>
              </c:strCache>
            </c:strRef>
          </c:tx>
          <c:spPr>
            <a:solidFill>
              <a:srgbClr val="4F81BD">
                <a:lumMod val="75000"/>
              </a:srgbClr>
            </a:solidFill>
          </c:spPr>
          <c:invertIfNegative val="0"/>
          <c:cat>
            <c:numRef>
              <c:f>Historic!$P$2:$P$8</c:f>
              <c:numCache>
                <c:formatCode>General</c:formatCode>
                <c:ptCount val="7"/>
                <c:pt idx="0">
                  <c:v>2005</c:v>
                </c:pt>
                <c:pt idx="1">
                  <c:v>2006</c:v>
                </c:pt>
                <c:pt idx="2">
                  <c:v>2007</c:v>
                </c:pt>
                <c:pt idx="3">
                  <c:v>2008</c:v>
                </c:pt>
                <c:pt idx="4">
                  <c:v>2009</c:v>
                </c:pt>
                <c:pt idx="5">
                  <c:v>2010</c:v>
                </c:pt>
                <c:pt idx="6">
                  <c:v>2011</c:v>
                </c:pt>
              </c:numCache>
            </c:numRef>
          </c:cat>
          <c:val>
            <c:numRef>
              <c:f>Historic!$T$2:$T$8</c:f>
              <c:numCache>
                <c:formatCode>#,##0;[Red]\-#,##0</c:formatCode>
                <c:ptCount val="7"/>
                <c:pt idx="0" formatCode="&quot;$&quot;#,##0;[Red]\-&quot;$&quot;#,##0">
                  <c:v>1915493</c:v>
                </c:pt>
                <c:pt idx="1">
                  <c:v>692207</c:v>
                </c:pt>
                <c:pt idx="2">
                  <c:v>1427715</c:v>
                </c:pt>
                <c:pt idx="3">
                  <c:v>1853557</c:v>
                </c:pt>
                <c:pt idx="4">
                  <c:v>2019459</c:v>
                </c:pt>
                <c:pt idx="5">
                  <c:v>2190342</c:v>
                </c:pt>
                <c:pt idx="6">
                  <c:v>1449470</c:v>
                </c:pt>
              </c:numCache>
            </c:numRef>
          </c:val>
        </c:ser>
        <c:ser>
          <c:idx val="1"/>
          <c:order val="1"/>
          <c:tx>
            <c:strRef>
              <c:f>Historic!$U$1</c:f>
              <c:strCache>
                <c:ptCount val="1"/>
                <c:pt idx="0">
                  <c:v>EBITDA Forecasted for this Year</c:v>
                </c:pt>
              </c:strCache>
            </c:strRef>
          </c:tx>
          <c:spPr>
            <a:solidFill>
              <a:srgbClr val="C00000"/>
            </a:solidFill>
          </c:spPr>
          <c:invertIfNegative val="0"/>
          <c:cat>
            <c:numRef>
              <c:f>Historic!$P$2:$P$8</c:f>
              <c:numCache>
                <c:formatCode>General</c:formatCode>
                <c:ptCount val="7"/>
                <c:pt idx="0">
                  <c:v>2005</c:v>
                </c:pt>
                <c:pt idx="1">
                  <c:v>2006</c:v>
                </c:pt>
                <c:pt idx="2">
                  <c:v>2007</c:v>
                </c:pt>
                <c:pt idx="3">
                  <c:v>2008</c:v>
                </c:pt>
                <c:pt idx="4">
                  <c:v>2009</c:v>
                </c:pt>
                <c:pt idx="5">
                  <c:v>2010</c:v>
                </c:pt>
                <c:pt idx="6">
                  <c:v>2011</c:v>
                </c:pt>
              </c:numCache>
            </c:numRef>
          </c:cat>
          <c:val>
            <c:numRef>
              <c:f>Historic!$U$2:$U$8</c:f>
              <c:numCache>
                <c:formatCode>#,##0;[Red]\-#,##0</c:formatCode>
                <c:ptCount val="7"/>
                <c:pt idx="0" formatCode="&quot;$&quot;#,##0;[Red]\-&quot;$&quot;#,##0">
                  <c:v>1672250</c:v>
                </c:pt>
                <c:pt idx="1">
                  <c:v>1738403</c:v>
                </c:pt>
                <c:pt idx="2">
                  <c:v>2094316</c:v>
                </c:pt>
                <c:pt idx="3">
                  <c:v>1584094</c:v>
                </c:pt>
                <c:pt idx="4">
                  <c:v>1993281</c:v>
                </c:pt>
                <c:pt idx="5">
                  <c:v>1441311.2857142864</c:v>
                </c:pt>
                <c:pt idx="6">
                  <c:v>1856114</c:v>
                </c:pt>
              </c:numCache>
            </c:numRef>
          </c:val>
        </c:ser>
        <c:dLbls>
          <c:showLegendKey val="0"/>
          <c:showVal val="0"/>
          <c:showCatName val="0"/>
          <c:showSerName val="0"/>
          <c:showPercent val="0"/>
          <c:showBubbleSize val="0"/>
        </c:dLbls>
        <c:gapWidth val="150"/>
        <c:gapDepth val="0"/>
        <c:shape val="box"/>
        <c:axId val="284078848"/>
        <c:axId val="284080384"/>
        <c:axId val="0"/>
      </c:bar3DChart>
      <c:catAx>
        <c:axId val="284078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284080384"/>
        <c:crosses val="autoZero"/>
        <c:auto val="0"/>
        <c:lblAlgn val="ctr"/>
        <c:lblOffset val="100"/>
        <c:tickLblSkip val="1"/>
        <c:tickMarkSkip val="12"/>
        <c:noMultiLvlLbl val="0"/>
      </c:catAx>
      <c:valAx>
        <c:axId val="284080384"/>
        <c:scaling>
          <c:orientation val="minMax"/>
        </c:scaling>
        <c:delete val="0"/>
        <c:axPos val="l"/>
        <c:majorGridlines>
          <c:spPr>
            <a:ln w="3175">
              <a:solidFill>
                <a:srgbClr val="000000"/>
              </a:solidFill>
              <a:prstDash val="solid"/>
            </a:ln>
          </c:spPr>
        </c:majorGridlines>
        <c:title>
          <c:tx>
            <c:rich>
              <a:bodyPr/>
              <a:lstStyle/>
              <a:p>
                <a:pPr>
                  <a:defRPr sz="2000" b="0" i="0" u="none" strike="noStrike" baseline="0">
                    <a:solidFill>
                      <a:srgbClr val="000000"/>
                    </a:solidFill>
                    <a:latin typeface="Arial"/>
                    <a:ea typeface="Arial"/>
                    <a:cs typeface="Arial"/>
                  </a:defRPr>
                </a:pPr>
                <a:r>
                  <a:rPr lang="en-US" b="0"/>
                  <a:t>EBITDA</a:t>
                </a:r>
              </a:p>
            </c:rich>
          </c:tx>
          <c:layout>
            <c:manualLayout>
              <c:xMode val="edge"/>
              <c:yMode val="edge"/>
              <c:x val="1.3318534961154272E-2"/>
              <c:y val="0.36867862969004894"/>
            </c:manualLayout>
          </c:layout>
          <c:overlay val="0"/>
          <c:spPr>
            <a:noFill/>
            <a:ln w="25400">
              <a:noFill/>
            </a:ln>
          </c:spPr>
        </c:title>
        <c:numFmt formatCode="\$#,##0;[Red]\$#,##0"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84078848"/>
        <c:crosses val="autoZero"/>
        <c:crossBetween val="between"/>
      </c:valAx>
      <c:spPr>
        <a:noFill/>
        <a:ln w="25400">
          <a:noFill/>
        </a:ln>
      </c:spPr>
    </c:plotArea>
    <c:legend>
      <c:legendPos val="r"/>
      <c:layout>
        <c:manualLayout>
          <c:xMode val="edge"/>
          <c:yMode val="edge"/>
          <c:x val="0.26549376640419947"/>
          <c:y val="0.90464154287415099"/>
          <c:w val="0.66931284631087784"/>
          <c:h val="7.4712841951457096E-2"/>
        </c:manualLayout>
      </c:layout>
      <c:overlay val="0"/>
      <c:txPr>
        <a:bodyPr/>
        <a:lstStyle/>
        <a:p>
          <a:pPr>
            <a:defRPr>
              <a:latin typeface="+mn-lt"/>
            </a:defRPr>
          </a:pPr>
          <a:endParaRPr lang="en-US"/>
        </a:p>
      </c:txPr>
    </c:legend>
    <c:plotVisOnly val="1"/>
    <c:dispBlanksAs val="gap"/>
    <c:showDLblsOverMax val="0"/>
  </c:chart>
  <c:spPr>
    <a:noFill/>
    <a:ln w="9525">
      <a:noFill/>
    </a:ln>
  </c:spPr>
  <c:txPr>
    <a:bodyPr/>
    <a:lstStyle/>
    <a:p>
      <a:pPr>
        <a:defRPr sz="1400" b="0" i="0" u="none" strike="noStrike" baseline="0">
          <a:solidFill>
            <a:srgbClr val="000000"/>
          </a:solidFill>
          <a:latin typeface="Arial"/>
          <a:ea typeface="Arial"/>
          <a:cs typeface="Arial"/>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2DDEF7C0684C718F2B6527A690243C"/>
        <w:category>
          <w:name w:val="General"/>
          <w:gallery w:val="placeholder"/>
        </w:category>
        <w:types>
          <w:type w:val="bbPlcHdr"/>
        </w:types>
        <w:behaviors>
          <w:behavior w:val="content"/>
        </w:behaviors>
        <w:guid w:val="{84AAA19B-1B5A-47D8-A4DC-CC0F3459215D}"/>
      </w:docPartPr>
      <w:docPartBody>
        <w:p w:rsidR="00D90362" w:rsidRDefault="00533D06" w:rsidP="00533D06">
          <w:pPr>
            <w:pStyle w:val="872DDEF7C0684C718F2B6527A690243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Fix">
    <w:panose1 w:val="00000000000000000000"/>
    <w:charset w:val="00"/>
    <w:family w:val="roman"/>
    <w:notTrueType/>
    <w:pitch w:val="fixed"/>
    <w:sig w:usb0="00000003" w:usb1="00000000" w:usb2="00000000" w:usb3="00000000" w:csb0="00000001" w:csb1="00000000"/>
  </w:font>
  <w:font w:name="classic">
    <w:panose1 w:val="00000000000000000000"/>
    <w:charset w:val="00"/>
    <w:family w:val="roman"/>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06"/>
    <w:rsid w:val="00533D06"/>
    <w:rsid w:val="00D90362"/>
    <w:rsid w:val="00F1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DDEF7C0684C718F2B6527A690243C">
    <w:name w:val="872DDEF7C0684C718F2B6527A690243C"/>
    <w:rsid w:val="00533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DDEF7C0684C718F2B6527A690243C">
    <w:name w:val="872DDEF7C0684C718F2B6527A690243C"/>
    <w:rsid w:val="00533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D585A-DBB5-4C31-84DD-5E5AE0CC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EXECUTIVE COMPENSATION IN AN ESOP COMPANY</vt:lpstr>
    </vt:vector>
  </TitlesOfParts>
  <Company>Toshiba</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COMPENSATION IN AN ESOP COMPANY</dc:title>
  <dc:creator>Beginning ESOP Valuation</dc:creator>
  <cp:lastModifiedBy>Barry Goodman</cp:lastModifiedBy>
  <cp:revision>17</cp:revision>
  <cp:lastPrinted>2012-09-17T19:26:00Z</cp:lastPrinted>
  <dcterms:created xsi:type="dcterms:W3CDTF">2012-09-17T19:25:00Z</dcterms:created>
  <dcterms:modified xsi:type="dcterms:W3CDTF">2012-10-30T20:55:00Z</dcterms:modified>
</cp:coreProperties>
</file>